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57" w:rsidRPr="00E259D7" w:rsidRDefault="009F3457" w:rsidP="009F3457">
      <w:pPr>
        <w:jc w:val="center"/>
        <w:rPr>
          <w:i/>
        </w:rPr>
      </w:pPr>
      <w:r w:rsidRPr="00E259D7">
        <w:t>Prípravok na ochranu rastlín</w:t>
      </w:r>
      <w:r w:rsidR="002411EF">
        <w:t xml:space="preserve"> pre profesionálnych používateľov</w:t>
      </w:r>
    </w:p>
    <w:p w:rsidR="009F3457" w:rsidRPr="00E259D7" w:rsidRDefault="009F3457" w:rsidP="009F3457">
      <w:pPr>
        <w:jc w:val="center"/>
        <w:rPr>
          <w:b/>
          <w:sz w:val="36"/>
          <w:szCs w:val="36"/>
        </w:rPr>
      </w:pPr>
      <w:r w:rsidRPr="00E259D7">
        <w:rPr>
          <w:b/>
          <w:sz w:val="36"/>
          <w:szCs w:val="36"/>
        </w:rPr>
        <w:t>TOPREX</w:t>
      </w:r>
      <w:r w:rsidR="00340F6C" w:rsidRPr="00340F6C">
        <w:rPr>
          <w:b/>
          <w:sz w:val="32"/>
          <w:szCs w:val="32"/>
          <w:vertAlign w:val="superscript"/>
        </w:rPr>
        <w:sym w:font="Symbol" w:char="F0E2"/>
      </w:r>
    </w:p>
    <w:p w:rsidR="009F3457" w:rsidRPr="00E259D7" w:rsidRDefault="009F3457" w:rsidP="009F3457">
      <w:pPr>
        <w:jc w:val="center"/>
        <w:rPr>
          <w:b/>
        </w:rPr>
      </w:pPr>
    </w:p>
    <w:p w:rsidR="009F3457" w:rsidRPr="00E259D7" w:rsidRDefault="009F3457" w:rsidP="009F3457">
      <w:pPr>
        <w:jc w:val="both"/>
      </w:pPr>
      <w:r w:rsidRPr="00E259D7">
        <w:t>Postrekový prípravok vo forme</w:t>
      </w:r>
      <w:r w:rsidR="00D47D31">
        <w:t xml:space="preserve"> kvapalného</w:t>
      </w:r>
      <w:r w:rsidRPr="00E259D7">
        <w:t xml:space="preserve"> </w:t>
      </w:r>
      <w:proofErr w:type="spellStart"/>
      <w:r w:rsidRPr="00E259D7">
        <w:t>suspenzného</w:t>
      </w:r>
      <w:proofErr w:type="spellEnd"/>
      <w:r w:rsidRPr="00E259D7">
        <w:t xml:space="preserve"> koncentrátu</w:t>
      </w:r>
      <w:r w:rsidR="00D47D31">
        <w:t xml:space="preserve"> pre riedenie vodou</w:t>
      </w:r>
      <w:r w:rsidRPr="00E259D7">
        <w:t xml:space="preserve"> na ochranu repky </w:t>
      </w:r>
      <w:r w:rsidR="009D343D">
        <w:t>ozimnej a jarnej</w:t>
      </w:r>
      <w:r w:rsidRPr="00E259D7">
        <w:t xml:space="preserve"> proti hubovým chorobám</w:t>
      </w:r>
      <w:r w:rsidR="00341C96">
        <w:t>.</w:t>
      </w:r>
      <w:r w:rsidR="00A11F45">
        <w:t xml:space="preserve"> </w:t>
      </w:r>
    </w:p>
    <w:p w:rsidR="009F3457" w:rsidRPr="00E259D7" w:rsidRDefault="009F3457" w:rsidP="009F3457">
      <w:pPr>
        <w:jc w:val="both"/>
      </w:pPr>
    </w:p>
    <w:p w:rsidR="009F3457" w:rsidRDefault="002411EF" w:rsidP="009F3457">
      <w:pPr>
        <w:jc w:val="both"/>
        <w:rPr>
          <w:b/>
        </w:rPr>
      </w:pPr>
      <w:r w:rsidRPr="002411EF">
        <w:rPr>
          <w:b/>
        </w:rPr>
        <w:t>ÚČINNÁ LÁTKA: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559"/>
      </w:tblGrid>
      <w:tr w:rsidR="00340F6C" w:rsidRPr="00435F91" w:rsidTr="00435F91">
        <w:tc>
          <w:tcPr>
            <w:tcW w:w="1951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  <w:proofErr w:type="spellStart"/>
            <w:r w:rsidRPr="00435F91">
              <w:rPr>
                <w:b/>
              </w:rPr>
              <w:t>Difenoconazole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  <w:r w:rsidRPr="00435F91">
              <w:rPr>
                <w:b/>
              </w:rPr>
              <w:t>250 g/l</w:t>
            </w:r>
          </w:p>
        </w:tc>
      </w:tr>
      <w:tr w:rsidR="00340F6C" w:rsidRPr="00435F91" w:rsidTr="00340F6C">
        <w:trPr>
          <w:trHeight w:val="74"/>
        </w:trPr>
        <w:tc>
          <w:tcPr>
            <w:tcW w:w="1951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40F6C" w:rsidRPr="002411EF" w:rsidRDefault="00340F6C" w:rsidP="00435F91">
            <w:pPr>
              <w:jc w:val="both"/>
            </w:pPr>
            <w:r>
              <w:t>(22,5</w:t>
            </w:r>
            <w:r w:rsidRPr="002411EF">
              <w:t>% hm)</w:t>
            </w:r>
          </w:p>
        </w:tc>
      </w:tr>
      <w:tr w:rsidR="00340F6C" w:rsidRPr="00435F91" w:rsidTr="00435F91">
        <w:tc>
          <w:tcPr>
            <w:tcW w:w="1951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  <w:proofErr w:type="spellStart"/>
            <w:r w:rsidRPr="00435F91">
              <w:rPr>
                <w:b/>
              </w:rPr>
              <w:t>Paclobutrazol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  <w:r w:rsidRPr="00435F91">
              <w:rPr>
                <w:b/>
              </w:rPr>
              <w:t>125 g/l</w:t>
            </w:r>
          </w:p>
        </w:tc>
      </w:tr>
      <w:tr w:rsidR="00340F6C" w:rsidRPr="00435F91" w:rsidTr="00435F91">
        <w:tc>
          <w:tcPr>
            <w:tcW w:w="1951" w:type="dxa"/>
            <w:shd w:val="clear" w:color="auto" w:fill="auto"/>
          </w:tcPr>
          <w:p w:rsidR="00340F6C" w:rsidRPr="00435F91" w:rsidRDefault="00340F6C" w:rsidP="00435F91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40F6C" w:rsidRPr="002411EF" w:rsidRDefault="00340F6C" w:rsidP="00435F91">
            <w:pPr>
              <w:jc w:val="both"/>
            </w:pPr>
            <w:r w:rsidRPr="002411EF">
              <w:t>(11,3 % hm)</w:t>
            </w:r>
          </w:p>
        </w:tc>
      </w:tr>
    </w:tbl>
    <w:p w:rsidR="002411EF" w:rsidRPr="002411EF" w:rsidRDefault="002411EF" w:rsidP="009F3457">
      <w:pPr>
        <w:jc w:val="both"/>
        <w:rPr>
          <w:b/>
        </w:rPr>
      </w:pPr>
    </w:p>
    <w:p w:rsidR="009F3457" w:rsidRDefault="009F3457" w:rsidP="009F3457">
      <w:pPr>
        <w:jc w:val="both"/>
        <w:rPr>
          <w:b/>
          <w:u w:val="single"/>
        </w:rPr>
      </w:pPr>
    </w:p>
    <w:p w:rsidR="008F444C" w:rsidRDefault="002411EF" w:rsidP="00C00DBC">
      <w:pPr>
        <w:jc w:val="both"/>
        <w:rPr>
          <w:b/>
        </w:rPr>
      </w:pPr>
      <w:r>
        <w:rPr>
          <w:b/>
          <w:bCs/>
        </w:rPr>
        <w:t>Látky nebezpečné pre zdravie, ktoré prispievajú ku klasifikácii prípravku</w:t>
      </w:r>
      <w:r w:rsidR="00D756F1">
        <w:rPr>
          <w:b/>
          <w:bCs/>
        </w:rPr>
        <w:t>: nerelevantné</w:t>
      </w:r>
    </w:p>
    <w:p w:rsidR="005A120D" w:rsidRDefault="005A120D" w:rsidP="005A120D">
      <w:pPr>
        <w:rPr>
          <w:rFonts w:ascii="Verdana" w:hAnsi="Verdana"/>
          <w:b/>
          <w:sz w:val="22"/>
          <w:szCs w:val="22"/>
        </w:rPr>
      </w:pPr>
    </w:p>
    <w:p w:rsidR="005626EF" w:rsidRPr="00341C96" w:rsidRDefault="005626EF" w:rsidP="005A120D">
      <w:pPr>
        <w:rPr>
          <w:b/>
          <w:sz w:val="22"/>
          <w:szCs w:val="22"/>
        </w:rPr>
      </w:pPr>
      <w:r w:rsidRPr="00341C96">
        <w:rPr>
          <w:b/>
          <w:sz w:val="22"/>
          <w:szCs w:val="22"/>
        </w:rPr>
        <w:t>OZNAČENIE PRÍPRAVKU:</w:t>
      </w:r>
    </w:p>
    <w:p w:rsidR="005626EF" w:rsidRPr="00341C96" w:rsidRDefault="005626EF" w:rsidP="005A120D">
      <w:pPr>
        <w:rPr>
          <w:sz w:val="22"/>
          <w:szCs w:val="22"/>
        </w:rPr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108"/>
        <w:gridCol w:w="2444"/>
        <w:gridCol w:w="7132"/>
        <w:gridCol w:w="279"/>
      </w:tblGrid>
      <w:tr w:rsidR="005A120D" w:rsidRPr="00341C96" w:rsidTr="00601A7C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9576" w:type="dxa"/>
            <w:gridSpan w:val="2"/>
          </w:tcPr>
          <w:p w:rsidR="005A120D" w:rsidRPr="00341C96" w:rsidRDefault="001A761C" w:rsidP="00601A7C">
            <w:pPr>
              <w:rPr>
                <w:sz w:val="22"/>
                <w:szCs w:val="22"/>
              </w:rPr>
            </w:pPr>
            <w:r w:rsidRPr="00341C96">
              <w:rPr>
                <w:noProof/>
                <w:lang w:eastAsia="sk-SK"/>
              </w:rPr>
              <w:drawing>
                <wp:inline distT="0" distB="0" distL="0" distR="0">
                  <wp:extent cx="733425" cy="733425"/>
                  <wp:effectExtent l="0" t="0" r="0" b="0"/>
                  <wp:docPr id="1" name="Obrázok 1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C96">
              <w:rPr>
                <w:noProof/>
                <w:lang w:eastAsia="sk-SK"/>
              </w:rPr>
              <w:drawing>
                <wp:inline distT="0" distB="0" distL="0" distR="0">
                  <wp:extent cx="733425" cy="733425"/>
                  <wp:effectExtent l="0" t="0" r="0" b="0"/>
                  <wp:docPr id="2" name="Obrázok 2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20D" w:rsidRPr="00341C96" w:rsidTr="00601A7C">
        <w:tc>
          <w:tcPr>
            <w:tcW w:w="9963" w:type="dxa"/>
            <w:gridSpan w:val="4"/>
            <w:vAlign w:val="center"/>
          </w:tcPr>
          <w:p w:rsidR="005A120D" w:rsidRPr="00D756F1" w:rsidRDefault="005626EF" w:rsidP="00601A7C">
            <w:pPr>
              <w:rPr>
                <w:sz w:val="22"/>
                <w:szCs w:val="22"/>
              </w:rPr>
            </w:pPr>
            <w:r w:rsidRPr="00341C96">
              <w:rPr>
                <w:b/>
                <w:sz w:val="22"/>
                <w:szCs w:val="22"/>
              </w:rPr>
              <w:t xml:space="preserve">  </w:t>
            </w:r>
            <w:r w:rsidR="00D756F1">
              <w:rPr>
                <w:b/>
                <w:sz w:val="22"/>
                <w:szCs w:val="22"/>
              </w:rPr>
              <w:t xml:space="preserve">   </w:t>
            </w:r>
            <w:r w:rsidRPr="00D756F1">
              <w:rPr>
                <w:sz w:val="22"/>
                <w:szCs w:val="22"/>
              </w:rPr>
              <w:t xml:space="preserve">GHS08     </w:t>
            </w:r>
            <w:r w:rsidR="00D756F1" w:rsidRPr="00D756F1">
              <w:rPr>
                <w:sz w:val="22"/>
                <w:szCs w:val="22"/>
              </w:rPr>
              <w:t xml:space="preserve">  </w:t>
            </w:r>
            <w:r w:rsidRPr="00D756F1">
              <w:rPr>
                <w:sz w:val="22"/>
                <w:szCs w:val="22"/>
              </w:rPr>
              <w:t xml:space="preserve"> GHS09</w:t>
            </w:r>
          </w:p>
          <w:p w:rsidR="005626EF" w:rsidRPr="00341C96" w:rsidRDefault="005626EF" w:rsidP="00601A7C">
            <w:pPr>
              <w:spacing w:after="160"/>
              <w:rPr>
                <w:b/>
                <w:sz w:val="22"/>
                <w:szCs w:val="22"/>
              </w:rPr>
            </w:pPr>
          </w:p>
          <w:p w:rsidR="005A120D" w:rsidRPr="00341C96" w:rsidRDefault="005A120D" w:rsidP="00601A7C">
            <w:pPr>
              <w:spacing w:after="160"/>
              <w:rPr>
                <w:b/>
                <w:sz w:val="28"/>
                <w:szCs w:val="28"/>
              </w:rPr>
            </w:pPr>
            <w:r w:rsidRPr="00341C96">
              <w:rPr>
                <w:b/>
                <w:sz w:val="22"/>
                <w:szCs w:val="22"/>
              </w:rPr>
              <w:t xml:space="preserve"> </w:t>
            </w:r>
            <w:r w:rsidR="005626EF" w:rsidRPr="00341C96">
              <w:rPr>
                <w:b/>
                <w:sz w:val="28"/>
                <w:szCs w:val="28"/>
              </w:rPr>
              <w:t>P</w:t>
            </w:r>
            <w:r w:rsidRPr="00341C96">
              <w:rPr>
                <w:b/>
                <w:sz w:val="28"/>
                <w:szCs w:val="28"/>
              </w:rPr>
              <w:t>ozor</w:t>
            </w:r>
          </w:p>
        </w:tc>
      </w:tr>
      <w:tr w:rsidR="005A120D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  <w:vAlign w:val="center"/>
          </w:tcPr>
          <w:p w:rsidR="005A120D" w:rsidRPr="00341C96" w:rsidRDefault="005A120D" w:rsidP="00341C96">
            <w:pPr>
              <w:ind w:left="-108"/>
              <w:rPr>
                <w:b/>
                <w:bCs/>
              </w:rPr>
            </w:pPr>
            <w:r w:rsidRPr="00341C96">
              <w:rPr>
                <w:b/>
                <w:bCs/>
              </w:rPr>
              <w:t>H361d</w:t>
            </w:r>
          </w:p>
        </w:tc>
        <w:tc>
          <w:tcPr>
            <w:tcW w:w="7132" w:type="dxa"/>
            <w:vAlign w:val="center"/>
          </w:tcPr>
          <w:p w:rsidR="005A120D" w:rsidRPr="00341C96" w:rsidRDefault="00BE7340" w:rsidP="00341C96">
            <w:pPr>
              <w:ind w:left="-108"/>
              <w:rPr>
                <w:b/>
              </w:rPr>
            </w:pPr>
            <w:r w:rsidRPr="00BE7340">
              <w:rPr>
                <w:b/>
                <w:color w:val="000000"/>
              </w:rPr>
              <w:t>Podozrenie z poškodzovania nenarodeného dieťaťa.</w:t>
            </w:r>
          </w:p>
        </w:tc>
      </w:tr>
      <w:tr w:rsidR="005A120D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  <w:vAlign w:val="center"/>
          </w:tcPr>
          <w:p w:rsidR="005A120D" w:rsidRPr="00341C96" w:rsidRDefault="005A120D" w:rsidP="00341C96">
            <w:pPr>
              <w:ind w:left="-108"/>
              <w:rPr>
                <w:b/>
                <w:bCs/>
              </w:rPr>
            </w:pPr>
            <w:r w:rsidRPr="00341C96">
              <w:rPr>
                <w:b/>
                <w:bCs/>
              </w:rPr>
              <w:t>H410</w:t>
            </w:r>
          </w:p>
        </w:tc>
        <w:tc>
          <w:tcPr>
            <w:tcW w:w="7132" w:type="dxa"/>
            <w:vAlign w:val="center"/>
          </w:tcPr>
          <w:p w:rsidR="005A120D" w:rsidRPr="00341C96" w:rsidRDefault="005A120D" w:rsidP="00341C96">
            <w:pPr>
              <w:ind w:left="-108"/>
              <w:rPr>
                <w:b/>
              </w:rPr>
            </w:pPr>
            <w:r w:rsidRPr="00341C96">
              <w:rPr>
                <w:b/>
                <w:color w:val="000000"/>
              </w:rPr>
              <w:t>Veľmi toxický pre vodné organizmy, s dlhodobými účinkami.</w:t>
            </w:r>
          </w:p>
        </w:tc>
      </w:tr>
      <w:tr w:rsidR="005A120D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5A120D" w:rsidRPr="00341C96" w:rsidRDefault="005A120D" w:rsidP="00BE7340">
            <w:pPr>
              <w:ind w:left="-108"/>
              <w:rPr>
                <w:b/>
                <w:bCs/>
              </w:rPr>
            </w:pPr>
            <w:r w:rsidRPr="00341C96">
              <w:rPr>
                <w:b/>
                <w:bCs/>
              </w:rPr>
              <w:t>EUH</w:t>
            </w:r>
            <w:r w:rsidR="00BE7340">
              <w:rPr>
                <w:b/>
                <w:bCs/>
              </w:rPr>
              <w:t>208</w:t>
            </w:r>
          </w:p>
        </w:tc>
        <w:tc>
          <w:tcPr>
            <w:tcW w:w="7132" w:type="dxa"/>
            <w:vAlign w:val="center"/>
          </w:tcPr>
          <w:p w:rsidR="005A120D" w:rsidRPr="00341C96" w:rsidRDefault="00BE7340" w:rsidP="00341C96">
            <w:pPr>
              <w:ind w:left="-108"/>
              <w:rPr>
                <w:b/>
                <w:color w:val="000000"/>
              </w:rPr>
            </w:pPr>
            <w:r w:rsidRPr="00341C96">
              <w:rPr>
                <w:b/>
              </w:rPr>
              <w:t xml:space="preserve">Obsahuje </w:t>
            </w:r>
            <w:r w:rsidRPr="00341C96">
              <w:rPr>
                <w:b/>
                <w:color w:val="000000"/>
              </w:rPr>
              <w:t>1,2-benzisothiazol-3-one. Môže vyvolať alergickú reakciu.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75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/>
                <w:bCs/>
              </w:rPr>
            </w:pPr>
            <w:r w:rsidRPr="00341C96">
              <w:rPr>
                <w:b/>
                <w:bCs/>
              </w:rPr>
              <w:t>EUH</w:t>
            </w:r>
            <w:r>
              <w:rPr>
                <w:b/>
                <w:bCs/>
              </w:rPr>
              <w:t>401</w:t>
            </w:r>
          </w:p>
        </w:tc>
        <w:tc>
          <w:tcPr>
            <w:tcW w:w="7132" w:type="dxa"/>
            <w:vAlign w:val="center"/>
          </w:tcPr>
          <w:p w:rsidR="00BE7340" w:rsidRPr="00341C96" w:rsidRDefault="00BE7340" w:rsidP="00BE7340">
            <w:pPr>
              <w:ind w:left="-108"/>
              <w:rPr>
                <w:b/>
              </w:rPr>
            </w:pPr>
            <w:r w:rsidRPr="00341C96">
              <w:rPr>
                <w:b/>
              </w:rPr>
              <w:t>Dodržiavajte návod na používanie, aby ste zabránili vzniku rizík pre zdravie ľudí a životné prostredie.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/>
                <w:bCs/>
              </w:rPr>
            </w:pPr>
          </w:p>
        </w:tc>
        <w:tc>
          <w:tcPr>
            <w:tcW w:w="7132" w:type="dxa"/>
            <w:vAlign w:val="center"/>
          </w:tcPr>
          <w:p w:rsidR="00BE7340" w:rsidRPr="00341C96" w:rsidRDefault="00BE7340" w:rsidP="00BE7340">
            <w:pPr>
              <w:rPr>
                <w:b/>
              </w:rPr>
            </w:pP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P102</w:t>
            </w:r>
          </w:p>
        </w:tc>
        <w:tc>
          <w:tcPr>
            <w:tcW w:w="7132" w:type="dxa"/>
            <w:vAlign w:val="bottom"/>
          </w:tcPr>
          <w:p w:rsidR="00BE7340" w:rsidRPr="00341C96" w:rsidRDefault="00BE7340" w:rsidP="00BE7340">
            <w:pPr>
              <w:ind w:left="-108"/>
            </w:pPr>
            <w:r w:rsidRPr="00341C96">
              <w:rPr>
                <w:color w:val="000000"/>
              </w:rPr>
              <w:t>Uchovávajte mimo dosahu detí.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P201</w:t>
            </w:r>
          </w:p>
        </w:tc>
        <w:tc>
          <w:tcPr>
            <w:tcW w:w="7132" w:type="dxa"/>
            <w:vAlign w:val="bottom"/>
          </w:tcPr>
          <w:p w:rsidR="00BE7340" w:rsidRPr="00341C96" w:rsidRDefault="00BE7340" w:rsidP="00BE7340">
            <w:pPr>
              <w:ind w:left="-108"/>
              <w:rPr>
                <w:color w:val="000000"/>
              </w:rPr>
            </w:pPr>
            <w:r w:rsidRPr="00341C96">
              <w:rPr>
                <w:color w:val="000000"/>
              </w:rPr>
              <w:t>Pred použitím sa oboznámte s osobitnými pokynmi.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P273</w:t>
            </w:r>
          </w:p>
        </w:tc>
        <w:tc>
          <w:tcPr>
            <w:tcW w:w="7132" w:type="dxa"/>
            <w:vAlign w:val="bottom"/>
          </w:tcPr>
          <w:p w:rsidR="00BE7340" w:rsidRPr="00341C96" w:rsidRDefault="00BE7340" w:rsidP="00BE7340">
            <w:pPr>
              <w:ind w:left="-108"/>
              <w:rPr>
                <w:color w:val="000000"/>
              </w:rPr>
            </w:pPr>
            <w:r w:rsidRPr="00341C96">
              <w:rPr>
                <w:color w:val="000000"/>
              </w:rPr>
              <w:t>Zabráňte uvoľneniu do životného prostredia.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P280</w:t>
            </w:r>
          </w:p>
        </w:tc>
        <w:tc>
          <w:tcPr>
            <w:tcW w:w="7132" w:type="dxa"/>
            <w:vAlign w:val="bottom"/>
          </w:tcPr>
          <w:p w:rsidR="00BE7340" w:rsidRPr="00341C96" w:rsidRDefault="00BE7340" w:rsidP="00BE7340">
            <w:pPr>
              <w:ind w:left="-108"/>
            </w:pPr>
            <w:r w:rsidRPr="00341C96">
              <w:rPr>
                <w:color w:val="000000"/>
              </w:rPr>
              <w:t>Noste ochranné rukavice/ochranný odev.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 xml:space="preserve">P308 + P313 </w:t>
            </w:r>
          </w:p>
        </w:tc>
        <w:tc>
          <w:tcPr>
            <w:tcW w:w="7132" w:type="dxa"/>
            <w:vAlign w:val="bottom"/>
          </w:tcPr>
          <w:p w:rsidR="00BE7340" w:rsidRPr="00341C96" w:rsidRDefault="00BE7340" w:rsidP="00BE7340">
            <w:pPr>
              <w:ind w:left="-108"/>
            </w:pPr>
            <w:r w:rsidRPr="00341C96">
              <w:rPr>
                <w:color w:val="000000"/>
              </w:rPr>
              <w:t>Po expozícii alebo podozrení z nej: Vyhľadajte lekársku pomoc/starostlivosť.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P391</w:t>
            </w:r>
          </w:p>
        </w:tc>
        <w:tc>
          <w:tcPr>
            <w:tcW w:w="7132" w:type="dxa"/>
            <w:vAlign w:val="center"/>
          </w:tcPr>
          <w:p w:rsidR="00BE7340" w:rsidRPr="00341C96" w:rsidRDefault="00BE7340" w:rsidP="00BE7340">
            <w:pPr>
              <w:ind w:left="-108"/>
            </w:pPr>
            <w:r w:rsidRPr="00341C96">
              <w:t>Zozbierajte uniknutý produkt.</w:t>
            </w:r>
          </w:p>
        </w:tc>
      </w:tr>
      <w:tr w:rsidR="00BE7340" w:rsidRPr="00341C96" w:rsidTr="00BE7340">
        <w:trPr>
          <w:gridBefore w:val="1"/>
          <w:gridAfter w:val="1"/>
          <w:wBefore w:w="108" w:type="dxa"/>
          <w:wAfter w:w="279" w:type="dxa"/>
          <w:trHeight w:val="148"/>
        </w:trPr>
        <w:tc>
          <w:tcPr>
            <w:tcW w:w="2444" w:type="dxa"/>
          </w:tcPr>
          <w:p w:rsidR="00BE7340" w:rsidRPr="00341C96" w:rsidRDefault="00BE7340" w:rsidP="00BE7340">
            <w:pPr>
              <w:ind w:left="-108"/>
              <w:rPr>
                <w:bCs/>
              </w:rPr>
            </w:pPr>
            <w:r w:rsidRPr="00341C96">
              <w:rPr>
                <w:bCs/>
              </w:rPr>
              <w:t>P501</w:t>
            </w:r>
          </w:p>
        </w:tc>
        <w:tc>
          <w:tcPr>
            <w:tcW w:w="7132" w:type="dxa"/>
            <w:vAlign w:val="center"/>
          </w:tcPr>
          <w:p w:rsidR="00BE7340" w:rsidRPr="00341C96" w:rsidRDefault="00BE7340" w:rsidP="00BE7340">
            <w:pPr>
              <w:ind w:left="-108"/>
            </w:pPr>
            <w:r w:rsidRPr="00341C96">
              <w:t>Zneškodnite obsah/nádobu na oficiálnu skládku odpadu.</w:t>
            </w:r>
          </w:p>
        </w:tc>
      </w:tr>
    </w:tbl>
    <w:p w:rsidR="00341C96" w:rsidRDefault="00341C96" w:rsidP="00FD6735">
      <w:pPr>
        <w:pStyle w:val="odrazka"/>
        <w:tabs>
          <w:tab w:val="left" w:pos="1260"/>
        </w:tabs>
        <w:ind w:left="1276" w:hanging="1276"/>
        <w:rPr>
          <w:szCs w:val="24"/>
          <w:lang w:val="sk-SK"/>
        </w:rPr>
      </w:pPr>
    </w:p>
    <w:p w:rsidR="00BE7340" w:rsidRPr="00340F6C" w:rsidRDefault="00BE7340" w:rsidP="00BE7340">
      <w:pPr>
        <w:pStyle w:val="odrazka"/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t xml:space="preserve">SP1 </w:t>
      </w:r>
      <w:r w:rsidRPr="00340F6C">
        <w:rPr>
          <w:b/>
          <w:szCs w:val="24"/>
          <w:lang w:val="sk-SK"/>
        </w:rPr>
        <w:tab/>
        <w:t>Neznečisťovať vodu prípravkom alebo jeho obalom. (Nečistiť aplikačné zariadenie v blízkosti povrchových vôd/ Zabrániť kontaminácii prostredníctvom odtokových kanálov z poľnohospodárskych dvorov a vozoviek.)</w:t>
      </w:r>
    </w:p>
    <w:p w:rsidR="00BE7340" w:rsidRPr="00340F6C" w:rsidRDefault="00BE7340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</w:p>
    <w:p w:rsidR="000B1D1A" w:rsidRPr="00340F6C" w:rsidRDefault="000B1D1A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t xml:space="preserve">Z4 </w:t>
      </w:r>
      <w:r w:rsidRPr="00340F6C">
        <w:rPr>
          <w:b/>
          <w:szCs w:val="24"/>
          <w:lang w:val="sk-SK"/>
        </w:rPr>
        <w:tab/>
        <w:t>Riziko vyplývajúce z použitia prípravku pri dodržaní predpísanej dávky alebo koncentrácie je pre domáce, hospodárske a voľne žijúce zvieratá</w:t>
      </w:r>
      <w:r w:rsidR="00BE7340" w:rsidRPr="00340F6C">
        <w:rPr>
          <w:b/>
          <w:szCs w:val="24"/>
          <w:lang w:val="sk-SK"/>
        </w:rPr>
        <w:t xml:space="preserve"> relatívne</w:t>
      </w:r>
      <w:r w:rsidRPr="00340F6C">
        <w:rPr>
          <w:b/>
          <w:szCs w:val="24"/>
          <w:lang w:val="sk-SK"/>
        </w:rPr>
        <w:t xml:space="preserve"> prijateľné.</w:t>
      </w:r>
    </w:p>
    <w:p w:rsidR="000B1D1A" w:rsidRPr="00340F6C" w:rsidRDefault="000B1D1A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t xml:space="preserve">Vt5 </w:t>
      </w:r>
      <w:r w:rsidRPr="00340F6C">
        <w:rPr>
          <w:b/>
          <w:szCs w:val="24"/>
          <w:lang w:val="sk-SK"/>
        </w:rPr>
        <w:tab/>
        <w:t>Riziko vyplývajúce z použitia prípravku pri dodržaní predpísanej dávky alebo koncentrácie je pre vtáky prijateľné.</w:t>
      </w:r>
    </w:p>
    <w:p w:rsidR="000B1D1A" w:rsidRPr="00340F6C" w:rsidRDefault="000B1D1A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lastRenderedPageBreak/>
        <w:t xml:space="preserve">Vo1 </w:t>
      </w:r>
      <w:r w:rsidRPr="00340F6C">
        <w:rPr>
          <w:b/>
          <w:szCs w:val="24"/>
          <w:lang w:val="sk-SK"/>
        </w:rPr>
        <w:tab/>
        <w:t xml:space="preserve">Pre ryby a ostatné vodné </w:t>
      </w:r>
      <w:r w:rsidR="00BE7340" w:rsidRPr="00340F6C">
        <w:rPr>
          <w:b/>
          <w:szCs w:val="24"/>
          <w:lang w:val="sk-SK"/>
        </w:rPr>
        <w:t xml:space="preserve">organizmy </w:t>
      </w:r>
      <w:r w:rsidRPr="00340F6C">
        <w:rPr>
          <w:b/>
          <w:szCs w:val="24"/>
          <w:lang w:val="sk-SK"/>
        </w:rPr>
        <w:t>mimoriadne jedovatý.</w:t>
      </w:r>
    </w:p>
    <w:p w:rsidR="000B1D1A" w:rsidRPr="00340F6C" w:rsidRDefault="000B1D1A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t xml:space="preserve">V3 </w:t>
      </w:r>
      <w:r w:rsidRPr="00340F6C">
        <w:rPr>
          <w:b/>
          <w:szCs w:val="24"/>
          <w:lang w:val="sk-SK"/>
        </w:rPr>
        <w:tab/>
        <w:t>Riziko prípravku je prijateľné pre dážďovky a iné pôdne makroorganizmy</w:t>
      </w:r>
    </w:p>
    <w:p w:rsidR="000B1D1A" w:rsidRPr="00340F6C" w:rsidRDefault="000B1D1A" w:rsidP="00FD6735">
      <w:pPr>
        <w:pStyle w:val="odrazka"/>
        <w:tabs>
          <w:tab w:val="left" w:pos="1260"/>
        </w:tabs>
        <w:ind w:left="1276" w:hanging="1276"/>
        <w:rPr>
          <w:b/>
          <w:szCs w:val="24"/>
          <w:lang w:val="sk-SK"/>
        </w:rPr>
      </w:pPr>
      <w:r w:rsidRPr="00340F6C">
        <w:rPr>
          <w:b/>
          <w:szCs w:val="24"/>
          <w:lang w:val="sk-SK"/>
        </w:rPr>
        <w:t xml:space="preserve">Vč3 </w:t>
      </w:r>
      <w:r w:rsidRPr="00340F6C">
        <w:rPr>
          <w:b/>
          <w:szCs w:val="24"/>
          <w:lang w:val="sk-SK"/>
        </w:rPr>
        <w:tab/>
      </w:r>
      <w:r w:rsidR="00BE7340" w:rsidRPr="00340F6C">
        <w:rPr>
          <w:b/>
          <w:szCs w:val="24"/>
          <w:lang w:val="sk-SK"/>
        </w:rPr>
        <w:t>Prípravok pre včely s prijateľným rizikom pri dodržaní predpísanej dávky alebo koncentrácie.</w:t>
      </w:r>
    </w:p>
    <w:p w:rsidR="00F07C82" w:rsidRDefault="00F07C82" w:rsidP="00F07C82">
      <w:pPr>
        <w:overflowPunct w:val="0"/>
        <w:adjustRightInd w:val="0"/>
        <w:jc w:val="both"/>
        <w:textAlignment w:val="baseline"/>
        <w:rPr>
          <w:b/>
        </w:rPr>
      </w:pPr>
    </w:p>
    <w:p w:rsidR="00F07C82" w:rsidRPr="00341C96" w:rsidRDefault="00F07C82" w:rsidP="00F07C82">
      <w:pPr>
        <w:overflowPunct w:val="0"/>
        <w:adjustRightInd w:val="0"/>
        <w:jc w:val="both"/>
        <w:textAlignment w:val="baseline"/>
        <w:rPr>
          <w:b/>
        </w:rPr>
      </w:pPr>
      <w:r w:rsidRPr="00341C96">
        <w:rPr>
          <w:b/>
        </w:rPr>
        <w:t>Zákaz používania prípravku v 1. ochrannom pásme zdrojov pitných vôd!</w:t>
      </w:r>
    </w:p>
    <w:p w:rsidR="00F07C82" w:rsidRPr="00341C96" w:rsidRDefault="00F07C82" w:rsidP="00F07C82">
      <w:pPr>
        <w:overflowPunct w:val="0"/>
        <w:adjustRightInd w:val="0"/>
        <w:jc w:val="both"/>
        <w:textAlignment w:val="baseline"/>
        <w:rPr>
          <w:b/>
        </w:rPr>
      </w:pPr>
      <w:r w:rsidRPr="00341C96">
        <w:rPr>
          <w:b/>
        </w:rPr>
        <w:t xml:space="preserve">Prípravok sa môže použiť v 2. </w:t>
      </w:r>
      <w:r w:rsidR="00D62F5A" w:rsidRPr="00341C96">
        <w:rPr>
          <w:b/>
        </w:rPr>
        <w:t>o</w:t>
      </w:r>
      <w:r w:rsidRPr="00341C96">
        <w:rPr>
          <w:b/>
        </w:rPr>
        <w:t xml:space="preserve">chrannom pásme vodárenského zdroja povrchových vôd, ak je dodržaná neošetrená zóna v šírke minimálne dvojnásobku šírky koryta toku alebo 50 m </w:t>
      </w:r>
      <w:r w:rsidR="00D62F5A" w:rsidRPr="00341C96">
        <w:rPr>
          <w:b/>
        </w:rPr>
        <w:t xml:space="preserve">široký neošetrený pás smerom k vodnému toku a vodnej ploche a 10 m smerom k najbližšiemu odvodňovaciemu </w:t>
      </w:r>
      <w:r w:rsidR="00564631" w:rsidRPr="00341C96">
        <w:rPr>
          <w:b/>
        </w:rPr>
        <w:t>kanálu.</w:t>
      </w:r>
    </w:p>
    <w:p w:rsidR="00564631" w:rsidRPr="00341C96" w:rsidRDefault="00564631" w:rsidP="00F07C82">
      <w:pPr>
        <w:overflowPunct w:val="0"/>
        <w:adjustRightInd w:val="0"/>
        <w:jc w:val="both"/>
        <w:textAlignment w:val="baseline"/>
        <w:rPr>
          <w:b/>
        </w:rPr>
      </w:pPr>
      <w:r w:rsidRPr="00341C96">
        <w:rPr>
          <w:b/>
        </w:rPr>
        <w:t>Prípravok sa nemôže použiť v ochrannom pásme 2. stupňa vodárenského zdroja povrchových vôd na svahovitých pozemkoch nad 7°, kde je riziko splavovania prípravku do povrchových vôd, t.j. ak sú očakávané dažďové zrážky v priebehu 24 hodín.</w:t>
      </w:r>
    </w:p>
    <w:p w:rsidR="009F3457" w:rsidRPr="00341C96" w:rsidRDefault="009F3457" w:rsidP="00FD6735">
      <w:pPr>
        <w:pStyle w:val="odrazka"/>
        <w:ind w:left="0" w:firstLine="0"/>
        <w:rPr>
          <w:b/>
          <w:szCs w:val="24"/>
          <w:lang w:val="sk-SK"/>
        </w:rPr>
      </w:pPr>
      <w:r w:rsidRPr="00341C96">
        <w:rPr>
          <w:b/>
          <w:szCs w:val="24"/>
          <w:lang w:val="sk-SK"/>
        </w:rPr>
        <w:t>Dbajte o to, aby sa prípravok v žiadnom prípade nedostal do tečúcich a stojatých vôd vo voľnej prírode!</w:t>
      </w:r>
      <w:r w:rsidR="000B75FA" w:rsidRPr="00341C96">
        <w:rPr>
          <w:b/>
          <w:szCs w:val="24"/>
          <w:lang w:val="sk-SK"/>
        </w:rPr>
        <w:t xml:space="preserve"> </w:t>
      </w:r>
      <w:r w:rsidR="00564631" w:rsidRPr="00341C96">
        <w:rPr>
          <w:b/>
          <w:szCs w:val="24"/>
          <w:lang w:val="sk-SK"/>
        </w:rPr>
        <w:t>Neaplikujte v blízkosti hladín tečúcich a stojatých vôd! Dodržujte ochrannú zónu.</w:t>
      </w:r>
    </w:p>
    <w:p w:rsidR="000B75FA" w:rsidRPr="00341C96" w:rsidRDefault="000B75FA" w:rsidP="00FD6735">
      <w:pPr>
        <w:pStyle w:val="odrazka"/>
        <w:ind w:left="0" w:firstLine="0"/>
        <w:rPr>
          <w:b/>
          <w:szCs w:val="24"/>
          <w:lang w:val="sk-SK"/>
        </w:rPr>
      </w:pPr>
      <w:r w:rsidRPr="00341C96">
        <w:rPr>
          <w:b/>
          <w:szCs w:val="24"/>
          <w:lang w:val="sk-SK"/>
        </w:rPr>
        <w:t>Prípravok, jeho zvyšky a obaly sa nesmú dostať do povrchovej vody a podzemnej vody</w:t>
      </w:r>
      <w:r w:rsidR="00D756F1">
        <w:rPr>
          <w:b/>
          <w:szCs w:val="24"/>
          <w:lang w:val="sk-SK"/>
        </w:rPr>
        <w:t>!</w:t>
      </w:r>
    </w:p>
    <w:p w:rsidR="009F3457" w:rsidRPr="00341C96" w:rsidRDefault="009F3457" w:rsidP="00FD6735">
      <w:pPr>
        <w:pStyle w:val="odrazka"/>
        <w:ind w:left="0" w:firstLine="0"/>
        <w:rPr>
          <w:b/>
          <w:szCs w:val="24"/>
          <w:lang w:val="sk-SK"/>
        </w:rPr>
      </w:pPr>
      <w:r w:rsidRPr="00341C96">
        <w:rPr>
          <w:b/>
          <w:szCs w:val="24"/>
          <w:lang w:val="sk-SK"/>
        </w:rPr>
        <w:t>Zabráňte kontaminácii vôd samovoľným splavením prípravku z ošetrených plôch !</w:t>
      </w:r>
    </w:p>
    <w:p w:rsidR="009F3457" w:rsidRPr="00341C96" w:rsidRDefault="009F3457" w:rsidP="00FD6735">
      <w:pPr>
        <w:pStyle w:val="odrazka"/>
        <w:ind w:left="0" w:firstLine="0"/>
        <w:rPr>
          <w:b/>
          <w:szCs w:val="24"/>
          <w:lang w:val="sk-SK"/>
        </w:rPr>
      </w:pPr>
      <w:r w:rsidRPr="00341C96">
        <w:rPr>
          <w:b/>
          <w:szCs w:val="24"/>
          <w:lang w:val="sk-SK"/>
        </w:rPr>
        <w:t>Uložte mimo dosahu zvierat!</w:t>
      </w:r>
    </w:p>
    <w:p w:rsidR="00D756F1" w:rsidRPr="00D802B4" w:rsidRDefault="00D756F1" w:rsidP="00D756F1">
      <w:pPr>
        <w:jc w:val="both"/>
        <w:rPr>
          <w:bCs/>
          <w:caps/>
        </w:rPr>
      </w:pPr>
      <w:r w:rsidRPr="00D802B4">
        <w:rPr>
          <w:bCs/>
          <w:caps/>
        </w:rPr>
        <w:t>PRÍPRAVOK V TOMTO VEĽKOSPOTREBITEĽSKOM BALENÍ NESMIE BYŤ PONÚKANÝ ALEBO PREDÁVANÝ ŠIROKEJ VEREJNOSTI!</w:t>
      </w:r>
    </w:p>
    <w:p w:rsidR="009F3457" w:rsidRPr="00E259D7" w:rsidRDefault="009F3457" w:rsidP="009F3457">
      <w:pPr>
        <w:pStyle w:val="Default"/>
        <w:rPr>
          <w:rFonts w:ascii="Times New Roman" w:hAnsi="Times New Roman"/>
          <w:color w:val="auto"/>
          <w:lang w:val="sk-SK"/>
        </w:rPr>
      </w:pPr>
    </w:p>
    <w:p w:rsidR="009F3457" w:rsidRPr="00E259D7" w:rsidRDefault="00B11308" w:rsidP="009F3457">
      <w:pPr>
        <w:rPr>
          <w:b/>
        </w:rPr>
      </w:pPr>
      <w:r>
        <w:rPr>
          <w:b/>
        </w:rPr>
        <w:t>Výrobca</w:t>
      </w:r>
      <w:r w:rsidR="009F3457" w:rsidRPr="00E259D7">
        <w:rPr>
          <w:b/>
        </w:rPr>
        <w:t>:</w:t>
      </w:r>
    </w:p>
    <w:p w:rsidR="009F3457" w:rsidRPr="00E259D7" w:rsidRDefault="009F3457" w:rsidP="009F3457">
      <w:proofErr w:type="spellStart"/>
      <w:r w:rsidRPr="00E259D7">
        <w:t>Syngenta</w:t>
      </w:r>
      <w:proofErr w:type="spellEnd"/>
      <w:r w:rsidRPr="00E259D7">
        <w:t xml:space="preserve"> Crop </w:t>
      </w:r>
      <w:proofErr w:type="spellStart"/>
      <w:r w:rsidRPr="00E259D7">
        <w:t>Protection</w:t>
      </w:r>
      <w:proofErr w:type="spellEnd"/>
      <w:r w:rsidRPr="00E259D7">
        <w:t xml:space="preserve"> AG, </w:t>
      </w:r>
      <w:proofErr w:type="spellStart"/>
      <w:r w:rsidRPr="00E259D7">
        <w:t>Schwarzwaldallee</w:t>
      </w:r>
      <w:proofErr w:type="spellEnd"/>
      <w:r w:rsidRPr="00E259D7">
        <w:t xml:space="preserve"> 215, 4058 </w:t>
      </w:r>
      <w:proofErr w:type="spellStart"/>
      <w:r w:rsidRPr="00E259D7">
        <w:t>Basel</w:t>
      </w:r>
      <w:proofErr w:type="spellEnd"/>
      <w:r w:rsidRPr="00E259D7">
        <w:t>, Švajčiarsko</w:t>
      </w:r>
    </w:p>
    <w:p w:rsidR="009F3457" w:rsidRPr="00E259D7" w:rsidRDefault="009F3457" w:rsidP="009F3457"/>
    <w:p w:rsidR="009F3457" w:rsidRPr="00E259D7" w:rsidRDefault="00D756F1" w:rsidP="009F3457">
      <w:pPr>
        <w:pStyle w:val="hustynormal"/>
        <w:numPr>
          <w:ilvl w:val="12"/>
          <w:numId w:val="0"/>
        </w:numPr>
        <w:spacing w:before="0" w:after="0"/>
        <w:jc w:val="left"/>
        <w:rPr>
          <w:b/>
          <w:szCs w:val="24"/>
          <w:lang w:val="sk-SK"/>
        </w:rPr>
      </w:pPr>
      <w:r>
        <w:rPr>
          <w:b/>
          <w:szCs w:val="24"/>
          <w:lang w:val="sk-SK"/>
        </w:rPr>
        <w:t>Držiteľ autorizácie</w:t>
      </w:r>
      <w:r w:rsidR="009F3457" w:rsidRPr="00E259D7">
        <w:rPr>
          <w:b/>
          <w:szCs w:val="24"/>
          <w:lang w:val="sk-SK"/>
        </w:rPr>
        <w:t>:</w:t>
      </w:r>
    </w:p>
    <w:p w:rsidR="009F3457" w:rsidRPr="00E259D7" w:rsidRDefault="009F3457" w:rsidP="009F3457">
      <w:pPr>
        <w:pStyle w:val="hustynormal"/>
        <w:numPr>
          <w:ilvl w:val="12"/>
          <w:numId w:val="0"/>
        </w:numPr>
        <w:spacing w:before="0" w:after="0"/>
        <w:jc w:val="left"/>
        <w:rPr>
          <w:lang w:val="sk-SK"/>
        </w:rPr>
      </w:pPr>
      <w:proofErr w:type="spellStart"/>
      <w:r w:rsidRPr="00E259D7">
        <w:rPr>
          <w:lang w:val="sk-SK"/>
        </w:rPr>
        <w:t>Syngenta</w:t>
      </w:r>
      <w:proofErr w:type="spellEnd"/>
      <w:r w:rsidRPr="00E259D7">
        <w:rPr>
          <w:lang w:val="sk-SK"/>
        </w:rPr>
        <w:t xml:space="preserve"> Slovakia s.r.o., </w:t>
      </w:r>
      <w:r>
        <w:rPr>
          <w:lang w:val="sk-SK"/>
        </w:rPr>
        <w:t>Prievozská 4/D, 821 09 Bratislava</w:t>
      </w:r>
      <w:r w:rsidRPr="00E259D7">
        <w:rPr>
          <w:lang w:val="sk-SK"/>
        </w:rPr>
        <w:t xml:space="preserve"> </w:t>
      </w:r>
    </w:p>
    <w:p w:rsidR="009F3457" w:rsidRPr="00E259D7" w:rsidRDefault="009F3457" w:rsidP="009F3457">
      <w:pPr>
        <w:pStyle w:val="hustynormal"/>
        <w:numPr>
          <w:ilvl w:val="12"/>
          <w:numId w:val="0"/>
        </w:numPr>
        <w:spacing w:before="0" w:after="0"/>
        <w:jc w:val="left"/>
        <w:rPr>
          <w:lang w:val="sk-SK"/>
        </w:rPr>
      </w:pPr>
    </w:p>
    <w:p w:rsidR="009F3457" w:rsidRPr="00FD6735" w:rsidRDefault="00D756F1" w:rsidP="009F3457">
      <w:pPr>
        <w:pStyle w:val="hustynormal"/>
        <w:numPr>
          <w:ilvl w:val="12"/>
          <w:numId w:val="0"/>
        </w:numPr>
        <w:spacing w:before="0" w:after="0"/>
        <w:jc w:val="left"/>
        <w:rPr>
          <w:sz w:val="28"/>
          <w:szCs w:val="28"/>
          <w:lang w:val="sk-SK"/>
        </w:rPr>
      </w:pPr>
      <w:r w:rsidRPr="00D756F1">
        <w:rPr>
          <w:b/>
          <w:lang w:val="sk-SK"/>
        </w:rPr>
        <w:t>Číslo autorizácie</w:t>
      </w:r>
      <w:r w:rsidR="009F3457" w:rsidRPr="00D756F1">
        <w:rPr>
          <w:b/>
          <w:lang w:val="sk-SK"/>
        </w:rPr>
        <w:t xml:space="preserve"> ÚKSÚP:</w:t>
      </w:r>
      <w:r w:rsidR="009F3457" w:rsidRPr="00E259D7">
        <w:rPr>
          <w:lang w:val="sk-SK"/>
        </w:rPr>
        <w:tab/>
      </w:r>
      <w:r w:rsidR="009F3457" w:rsidRPr="00E259D7">
        <w:rPr>
          <w:lang w:val="sk-SK"/>
        </w:rPr>
        <w:tab/>
      </w:r>
      <w:r w:rsidR="00FD6735" w:rsidRPr="00FD6735">
        <w:rPr>
          <w:b/>
          <w:sz w:val="28"/>
          <w:szCs w:val="28"/>
          <w:lang w:val="sk-SK"/>
        </w:rPr>
        <w:t>11-02-1195</w:t>
      </w:r>
    </w:p>
    <w:p w:rsidR="00991E8F" w:rsidRPr="00E259D7" w:rsidRDefault="00991E8F" w:rsidP="00991E8F">
      <w:pPr>
        <w:tabs>
          <w:tab w:val="left" w:pos="0"/>
        </w:tabs>
      </w:pPr>
      <w:r w:rsidRPr="00991E8F">
        <w:rPr>
          <w:b/>
        </w:rPr>
        <w:t>Dátum výroby:</w:t>
      </w:r>
      <w:r w:rsidRPr="00E259D7">
        <w:tab/>
      </w:r>
      <w:r w:rsidRPr="00E259D7">
        <w:tab/>
      </w:r>
      <w:r w:rsidRPr="00E259D7">
        <w:tab/>
        <w:t>uvedený na obale</w:t>
      </w:r>
    </w:p>
    <w:p w:rsidR="009F3457" w:rsidRPr="00E259D7" w:rsidRDefault="009F3457" w:rsidP="009F3457">
      <w:pPr>
        <w:tabs>
          <w:tab w:val="left" w:pos="0"/>
        </w:tabs>
      </w:pPr>
    </w:p>
    <w:p w:rsidR="009F3457" w:rsidRPr="00E259D7" w:rsidRDefault="009F3457" w:rsidP="009F3457">
      <w:pPr>
        <w:tabs>
          <w:tab w:val="left" w:pos="0"/>
        </w:tabs>
      </w:pPr>
      <w:r w:rsidRPr="00991E8F">
        <w:rPr>
          <w:b/>
        </w:rPr>
        <w:t>Číslo</w:t>
      </w:r>
      <w:r w:rsidR="00991E8F" w:rsidRPr="00991E8F">
        <w:rPr>
          <w:b/>
        </w:rPr>
        <w:t xml:space="preserve"> výrobnej</w:t>
      </w:r>
      <w:r w:rsidRPr="00991E8F">
        <w:rPr>
          <w:b/>
        </w:rPr>
        <w:t xml:space="preserve"> šarže:</w:t>
      </w:r>
      <w:r w:rsidRPr="00991E8F">
        <w:rPr>
          <w:b/>
        </w:rPr>
        <w:tab/>
      </w:r>
      <w:r w:rsidR="00991E8F">
        <w:tab/>
      </w:r>
      <w:r w:rsidRPr="00E259D7">
        <w:t>uvedené na obale</w:t>
      </w:r>
    </w:p>
    <w:p w:rsidR="009F3457" w:rsidRPr="00E259D7" w:rsidRDefault="009F3457" w:rsidP="009F3457">
      <w:pPr>
        <w:jc w:val="both"/>
      </w:pPr>
      <w:r w:rsidRPr="00991E8F">
        <w:rPr>
          <w:b/>
        </w:rPr>
        <w:t>Balenie:</w:t>
      </w:r>
      <w:r w:rsidRPr="00E259D7">
        <w:tab/>
      </w:r>
      <w:r w:rsidRPr="00E259D7">
        <w:tab/>
      </w:r>
      <w:r w:rsidRPr="00E259D7">
        <w:tab/>
      </w:r>
      <w:r w:rsidRPr="00E259D7">
        <w:tab/>
        <w:t xml:space="preserve">HDPE, PET, fľaša </w:t>
      </w:r>
      <w:smartTag w:uri="urn:schemas-microsoft-com:office:smarttags" w:element="metricconverter">
        <w:smartTagPr>
          <w:attr w:name="ProductID" w:val="1 l"/>
        </w:smartTagPr>
        <w:r w:rsidRPr="00E259D7">
          <w:t>1 l</w:t>
        </w:r>
      </w:smartTag>
      <w:r w:rsidRPr="00E259D7">
        <w:t xml:space="preserve">, </w:t>
      </w:r>
    </w:p>
    <w:p w:rsidR="009F3457" w:rsidRDefault="009F3457" w:rsidP="009F3457">
      <w:pPr>
        <w:ind w:left="2880" w:firstLine="720"/>
        <w:jc w:val="both"/>
      </w:pPr>
      <w:r w:rsidRPr="00E259D7">
        <w:t xml:space="preserve">HDPE, PET, kanister </w:t>
      </w:r>
      <w:smartTag w:uri="urn:schemas-microsoft-com:office:smarttags" w:element="metricconverter">
        <w:smartTagPr>
          <w:attr w:name="ProductID" w:val="5 l"/>
        </w:smartTagPr>
        <w:r w:rsidRPr="00E259D7">
          <w:t>5 l</w:t>
        </w:r>
      </w:smartTag>
      <w:r w:rsidRPr="00E259D7">
        <w:t xml:space="preserve"> </w:t>
      </w:r>
    </w:p>
    <w:p w:rsidR="002F36D2" w:rsidRPr="00E259D7" w:rsidRDefault="002F36D2" w:rsidP="009F3457">
      <w:pPr>
        <w:ind w:left="2880" w:firstLine="720"/>
        <w:jc w:val="both"/>
      </w:pPr>
      <w:r>
        <w:t>HDPE, PET, kanister 10 l</w:t>
      </w:r>
    </w:p>
    <w:p w:rsidR="009F3457" w:rsidRPr="00E259D7" w:rsidRDefault="009F3457" w:rsidP="009F3457">
      <w:pPr>
        <w:ind w:left="2880" w:firstLine="720"/>
        <w:jc w:val="both"/>
      </w:pPr>
      <w:r w:rsidRPr="00E259D7">
        <w:t>HDPE,</w:t>
      </w:r>
      <w:r w:rsidR="002F36D2">
        <w:t xml:space="preserve"> PET</w:t>
      </w:r>
      <w:r w:rsidRPr="00E259D7">
        <w:t xml:space="preserve"> kanister </w:t>
      </w:r>
      <w:smartTag w:uri="urn:schemas-microsoft-com:office:smarttags" w:element="metricconverter">
        <w:smartTagPr>
          <w:attr w:name="ProductID" w:val="20 l"/>
        </w:smartTagPr>
        <w:r w:rsidRPr="00E259D7">
          <w:t>20 l</w:t>
        </w:r>
      </w:smartTag>
    </w:p>
    <w:p w:rsidR="008F6EF8" w:rsidRDefault="008F6EF8" w:rsidP="009F3457">
      <w:pPr>
        <w:pStyle w:val="Zkladntext2"/>
        <w:rPr>
          <w:b/>
        </w:rPr>
      </w:pPr>
    </w:p>
    <w:p w:rsidR="009F3457" w:rsidRPr="00E259D7" w:rsidRDefault="009F3457" w:rsidP="009F3457">
      <w:pPr>
        <w:pStyle w:val="Zkladntext2"/>
        <w:rPr>
          <w:b/>
        </w:rPr>
      </w:pPr>
      <w:r w:rsidRPr="00E259D7">
        <w:rPr>
          <w:b/>
        </w:rPr>
        <w:fldChar w:fldCharType="begin"/>
      </w:r>
      <w:r w:rsidRPr="00E259D7">
        <w:rPr>
          <w:b/>
        </w:rPr>
        <w:instrText>SYMBOL 210 \f "Symbol"</w:instrText>
      </w:r>
      <w:r w:rsidRPr="00E259D7">
        <w:rPr>
          <w:b/>
        </w:rPr>
        <w:fldChar w:fldCharType="end"/>
      </w:r>
      <w:r w:rsidRPr="00E259D7">
        <w:rPr>
          <w:b/>
        </w:rPr>
        <w:t xml:space="preserve"> </w:t>
      </w:r>
      <w:r>
        <w:rPr>
          <w:b/>
        </w:rPr>
        <w:t>TOPREX</w:t>
      </w:r>
      <w:r w:rsidRPr="00E259D7">
        <w:rPr>
          <w:b/>
        </w:rPr>
        <w:t xml:space="preserve"> je obchodná známka spoločnosti </w:t>
      </w:r>
      <w:proofErr w:type="spellStart"/>
      <w:r w:rsidRPr="00E259D7">
        <w:rPr>
          <w:b/>
        </w:rPr>
        <w:t>Syngenta</w:t>
      </w:r>
      <w:proofErr w:type="spellEnd"/>
      <w:r w:rsidRPr="00E259D7">
        <w:rPr>
          <w:b/>
        </w:rPr>
        <w:t xml:space="preserve"> Group </w:t>
      </w:r>
      <w:proofErr w:type="spellStart"/>
      <w:r w:rsidRPr="00E259D7">
        <w:rPr>
          <w:b/>
        </w:rPr>
        <w:t>Company</w:t>
      </w:r>
      <w:proofErr w:type="spellEnd"/>
    </w:p>
    <w:p w:rsidR="009F3457" w:rsidRPr="00E259D7" w:rsidRDefault="009F3457" w:rsidP="009F3457">
      <w:pPr>
        <w:jc w:val="both"/>
        <w:rPr>
          <w:b/>
          <w:u w:val="single"/>
        </w:rPr>
      </w:pPr>
    </w:p>
    <w:p w:rsidR="009F3457" w:rsidRPr="003023A6" w:rsidRDefault="009F3457" w:rsidP="005B0265">
      <w:pPr>
        <w:pStyle w:val="Default"/>
        <w:rPr>
          <w:caps/>
          <w:lang w:val="sk-SK"/>
        </w:rPr>
      </w:pPr>
      <w:r w:rsidRPr="003023A6">
        <w:rPr>
          <w:rFonts w:ascii="Times New Roman" w:hAnsi="Times New Roman"/>
          <w:b/>
          <w:caps/>
          <w:color w:val="auto"/>
          <w:lang w:val="sk-SK"/>
        </w:rPr>
        <w:t>Pôsobenie prípravku</w:t>
      </w:r>
    </w:p>
    <w:p w:rsidR="00074088" w:rsidRPr="005B0265" w:rsidRDefault="00495BCE" w:rsidP="005B0265">
      <w:pPr>
        <w:jc w:val="both"/>
      </w:pPr>
      <w:r>
        <w:t xml:space="preserve">Prípravok TOPREX má </w:t>
      </w:r>
      <w:proofErr w:type="spellStart"/>
      <w:r>
        <w:t>fungicídny</w:t>
      </w:r>
      <w:proofErr w:type="spellEnd"/>
      <w:r>
        <w:t xml:space="preserve"> </w:t>
      </w:r>
      <w:proofErr w:type="spellStart"/>
      <w:r w:rsidR="002307AE" w:rsidRPr="00CA00CA">
        <w:t>morforegulačný</w:t>
      </w:r>
      <w:proofErr w:type="spellEnd"/>
      <w:r w:rsidR="002307AE">
        <w:t xml:space="preserve"> </w:t>
      </w:r>
      <w:r w:rsidR="00074088" w:rsidRPr="00CA00CA">
        <w:t xml:space="preserve">účinok. V repke sa používa na ochranu proti </w:t>
      </w:r>
      <w:r w:rsidR="00074088" w:rsidRPr="005B0265">
        <w:t xml:space="preserve">hubovým chorobám a na reguláciu rastu repky. </w:t>
      </w:r>
    </w:p>
    <w:p w:rsidR="00074088" w:rsidRPr="00CA00CA" w:rsidRDefault="005B0265" w:rsidP="005B0265">
      <w:pPr>
        <w:pStyle w:val="Zarkazkladnhotextu"/>
        <w:ind w:left="0"/>
      </w:pPr>
      <w:r>
        <w:t xml:space="preserve">  </w:t>
      </w:r>
      <w:r w:rsidR="00074088" w:rsidRPr="005B0265">
        <w:t xml:space="preserve"> </w:t>
      </w:r>
      <w:r w:rsidRPr="005B0265">
        <w:t xml:space="preserve">Účinná látka </w:t>
      </w:r>
      <w:proofErr w:type="spellStart"/>
      <w:r w:rsidR="002B55DB" w:rsidRPr="005B0265">
        <w:rPr>
          <w:b/>
        </w:rPr>
        <w:t>d</w:t>
      </w:r>
      <w:r w:rsidR="00074088" w:rsidRPr="005B0265">
        <w:rPr>
          <w:b/>
        </w:rPr>
        <w:t>ifenoconazole</w:t>
      </w:r>
      <w:proofErr w:type="spellEnd"/>
      <w:r w:rsidR="00074088" w:rsidRPr="005B0265">
        <w:t xml:space="preserve"> </w:t>
      </w:r>
      <w:r>
        <w:t>pôsobí systémovo</w:t>
      </w:r>
      <w:r w:rsidR="00074088" w:rsidRPr="005B0265">
        <w:t xml:space="preserve"> s preventívnym a kuratívnym účinkom. Je prijímaný listom</w:t>
      </w:r>
      <w:r w:rsidR="00074088" w:rsidRPr="00CA00CA">
        <w:t xml:space="preserve">. </w:t>
      </w:r>
      <w:proofErr w:type="spellStart"/>
      <w:r w:rsidR="00074088" w:rsidRPr="00CA00CA">
        <w:t>Difenoconazole</w:t>
      </w:r>
      <w:proofErr w:type="spellEnd"/>
      <w:r w:rsidR="00074088" w:rsidRPr="00CA00CA">
        <w:t xml:space="preserve"> pôsobí ako inhibítor </w:t>
      </w:r>
      <w:proofErr w:type="spellStart"/>
      <w:r w:rsidR="00074088" w:rsidRPr="00CA00CA">
        <w:t>demetylácie</w:t>
      </w:r>
      <w:proofErr w:type="spellEnd"/>
      <w:r w:rsidR="00074088" w:rsidRPr="00CA00CA">
        <w:t xml:space="preserve"> v procese </w:t>
      </w:r>
      <w:proofErr w:type="spellStart"/>
      <w:r w:rsidR="00074088" w:rsidRPr="00CA00CA">
        <w:t>biosyntézy</w:t>
      </w:r>
      <w:proofErr w:type="spellEnd"/>
      <w:r w:rsidR="00074088" w:rsidRPr="00CA00CA">
        <w:t xml:space="preserve"> </w:t>
      </w:r>
      <w:proofErr w:type="spellStart"/>
      <w:r w:rsidR="00074088" w:rsidRPr="00CA00CA">
        <w:t>ergosterolu</w:t>
      </w:r>
      <w:proofErr w:type="spellEnd"/>
      <w:r w:rsidR="00074088" w:rsidRPr="00CA00CA">
        <w:t>, čím</w:t>
      </w:r>
      <w:r w:rsidR="001031D5">
        <w:t xml:space="preserve"> sa zastavuje </w:t>
      </w:r>
      <w:r w:rsidR="00074088" w:rsidRPr="00CA00CA">
        <w:t>rast</w:t>
      </w:r>
      <w:r w:rsidR="001031D5">
        <w:t xml:space="preserve"> </w:t>
      </w:r>
      <w:proofErr w:type="spellStart"/>
      <w:r w:rsidR="001031D5">
        <w:t>mycélia</w:t>
      </w:r>
      <w:proofErr w:type="spellEnd"/>
      <w:r w:rsidR="00074088" w:rsidRPr="00CA00CA">
        <w:t xml:space="preserve">. V rastlinách sa šíri </w:t>
      </w:r>
      <w:proofErr w:type="spellStart"/>
      <w:r w:rsidR="00074088" w:rsidRPr="00CA00CA">
        <w:t>akropetálne</w:t>
      </w:r>
      <w:proofErr w:type="spellEnd"/>
      <w:r w:rsidR="00074088" w:rsidRPr="00CA00CA">
        <w:t xml:space="preserve"> a </w:t>
      </w:r>
      <w:proofErr w:type="spellStart"/>
      <w:r w:rsidR="00074088" w:rsidRPr="00CA00CA">
        <w:t>translaminárne</w:t>
      </w:r>
      <w:proofErr w:type="spellEnd"/>
      <w:r w:rsidR="00074088" w:rsidRPr="00CA00CA">
        <w:t xml:space="preserve">.  </w:t>
      </w:r>
    </w:p>
    <w:p w:rsidR="00074088" w:rsidRPr="009D343D" w:rsidRDefault="00074088" w:rsidP="005B0265">
      <w:pPr>
        <w:jc w:val="both"/>
      </w:pPr>
      <w:r w:rsidRPr="00CA00CA">
        <w:t>Účinná látka</w:t>
      </w:r>
      <w:r w:rsidRPr="00CA00CA">
        <w:rPr>
          <w:b/>
        </w:rPr>
        <w:t xml:space="preserve"> </w:t>
      </w:r>
      <w:proofErr w:type="spellStart"/>
      <w:r w:rsidRPr="00CA00CA">
        <w:rPr>
          <w:b/>
        </w:rPr>
        <w:t>paclobutrazol</w:t>
      </w:r>
      <w:proofErr w:type="spellEnd"/>
      <w:r w:rsidRPr="00CA00CA">
        <w:rPr>
          <w:b/>
        </w:rPr>
        <w:t xml:space="preserve"> </w:t>
      </w:r>
      <w:r w:rsidRPr="00CA00CA">
        <w:t xml:space="preserve">pôsobí ako regulátor rastu a vývoja rastlín. </w:t>
      </w:r>
      <w:proofErr w:type="spellStart"/>
      <w:r w:rsidRPr="00CA00CA">
        <w:t>Paclobutrazol</w:t>
      </w:r>
      <w:proofErr w:type="spellEnd"/>
      <w:r w:rsidRPr="00CA00CA">
        <w:t xml:space="preserve"> v rastlinách </w:t>
      </w:r>
      <w:proofErr w:type="spellStart"/>
      <w:r w:rsidRPr="00CA00CA">
        <w:t>inhibuje</w:t>
      </w:r>
      <w:proofErr w:type="spellEnd"/>
      <w:r w:rsidRPr="00CA00CA">
        <w:t xml:space="preserve"> </w:t>
      </w:r>
      <w:proofErr w:type="spellStart"/>
      <w:r w:rsidRPr="00CA00CA">
        <w:t>biosyntézu</w:t>
      </w:r>
      <w:proofErr w:type="spellEnd"/>
      <w:r w:rsidRPr="00CA00CA">
        <w:t xml:space="preserve"> </w:t>
      </w:r>
      <w:proofErr w:type="spellStart"/>
      <w:r w:rsidRPr="00CA00CA">
        <w:t>giberelínu</w:t>
      </w:r>
      <w:proofErr w:type="spellEnd"/>
      <w:r w:rsidRPr="00CA00CA">
        <w:t xml:space="preserve"> a </w:t>
      </w:r>
      <w:proofErr w:type="spellStart"/>
      <w:r w:rsidRPr="00CA00CA">
        <w:t>sterolu</w:t>
      </w:r>
      <w:proofErr w:type="spellEnd"/>
      <w:r w:rsidRPr="00CA00CA">
        <w:t xml:space="preserve">, a tým i rýchlosť bunkového delenia. Ošetrené rastliny sú nižšie, kompaktnejšie. Je prijímaný listami, stonkou a koreňmi a </w:t>
      </w:r>
      <w:proofErr w:type="spellStart"/>
      <w:r w:rsidRPr="00CA00CA">
        <w:t>translokuje</w:t>
      </w:r>
      <w:proofErr w:type="spellEnd"/>
      <w:r w:rsidRPr="00CA00CA">
        <w:t xml:space="preserve"> sa do rastúcich </w:t>
      </w:r>
      <w:proofErr w:type="spellStart"/>
      <w:r w:rsidRPr="00CA00CA">
        <w:t>sub-apikálnych</w:t>
      </w:r>
      <w:proofErr w:type="spellEnd"/>
      <w:r w:rsidRPr="00CA00CA">
        <w:t xml:space="preserve"> </w:t>
      </w:r>
      <w:proofErr w:type="spellStart"/>
      <w:r w:rsidRPr="00CA00CA">
        <w:t>meristémov</w:t>
      </w:r>
      <w:proofErr w:type="spellEnd"/>
      <w:r w:rsidRPr="00CA00CA">
        <w:t xml:space="preserve">. Šíri sa </w:t>
      </w:r>
      <w:proofErr w:type="spellStart"/>
      <w:r w:rsidRPr="00CA00CA">
        <w:t>xylémom</w:t>
      </w:r>
      <w:proofErr w:type="spellEnd"/>
      <w:r w:rsidRPr="00CA00CA">
        <w:t>.</w:t>
      </w:r>
      <w:r w:rsidRPr="007E2322">
        <w:t xml:space="preserve"> </w:t>
      </w:r>
    </w:p>
    <w:p w:rsidR="009F3457" w:rsidRPr="00E259D7" w:rsidRDefault="00074088" w:rsidP="001031D5">
      <w:pPr>
        <w:pStyle w:val="Zarkazkladnhotextu"/>
        <w:ind w:left="0"/>
      </w:pPr>
      <w:r w:rsidRPr="009D343D">
        <w:t xml:space="preserve">   </w:t>
      </w:r>
    </w:p>
    <w:p w:rsidR="007A7F2F" w:rsidRDefault="007A7F2F" w:rsidP="009F3457">
      <w:pPr>
        <w:tabs>
          <w:tab w:val="left" w:pos="0"/>
        </w:tabs>
        <w:rPr>
          <w:b/>
          <w:caps/>
        </w:rPr>
      </w:pPr>
    </w:p>
    <w:p w:rsidR="009F3457" w:rsidRPr="003023A6" w:rsidRDefault="009F3457" w:rsidP="009F3457">
      <w:pPr>
        <w:tabs>
          <w:tab w:val="left" w:pos="0"/>
        </w:tabs>
        <w:rPr>
          <w:b/>
          <w:caps/>
        </w:rPr>
      </w:pPr>
      <w:r w:rsidRPr="003023A6">
        <w:rPr>
          <w:b/>
          <w:caps/>
        </w:rPr>
        <w:lastRenderedPageBreak/>
        <w:t>Návod na použitie</w:t>
      </w:r>
    </w:p>
    <w:p w:rsidR="009F3457" w:rsidRPr="00141B98" w:rsidRDefault="009F3457" w:rsidP="009F3457">
      <w:pPr>
        <w:tabs>
          <w:tab w:val="left" w:pos="0"/>
        </w:tabs>
        <w:rPr>
          <w:b/>
          <w:sz w:val="4"/>
          <w:szCs w:val="4"/>
        </w:rPr>
      </w:pPr>
    </w:p>
    <w:tbl>
      <w:tblPr>
        <w:tblW w:w="91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688"/>
        <w:gridCol w:w="1972"/>
        <w:gridCol w:w="1446"/>
        <w:gridCol w:w="1567"/>
      </w:tblGrid>
      <w:tr w:rsidR="009F3457" w:rsidRPr="00E259D7" w:rsidTr="00C21E32">
        <w:trPr>
          <w:cantSplit/>
        </w:trPr>
        <w:tc>
          <w:tcPr>
            <w:tcW w:w="1516" w:type="dxa"/>
          </w:tcPr>
          <w:p w:rsidR="009F3457" w:rsidRPr="00E259D7" w:rsidRDefault="009F3457" w:rsidP="009F3457">
            <w:pPr>
              <w:tabs>
                <w:tab w:val="left" w:pos="3402"/>
              </w:tabs>
              <w:jc w:val="both"/>
              <w:rPr>
                <w:b/>
              </w:rPr>
            </w:pPr>
            <w:r w:rsidRPr="00E259D7">
              <w:rPr>
                <w:b/>
              </w:rPr>
              <w:t>Plodina</w:t>
            </w:r>
          </w:p>
        </w:tc>
        <w:tc>
          <w:tcPr>
            <w:tcW w:w="2688" w:type="dxa"/>
          </w:tcPr>
          <w:p w:rsidR="009F3457" w:rsidRPr="00E259D7" w:rsidRDefault="00126F52" w:rsidP="009F3457">
            <w:pPr>
              <w:tabs>
                <w:tab w:val="left" w:pos="3402"/>
              </w:tabs>
              <w:jc w:val="both"/>
              <w:rPr>
                <w:b/>
              </w:rPr>
            </w:pPr>
            <w:r>
              <w:rPr>
                <w:b/>
              </w:rPr>
              <w:t>Účel použitia</w:t>
            </w:r>
          </w:p>
        </w:tc>
        <w:tc>
          <w:tcPr>
            <w:tcW w:w="1972" w:type="dxa"/>
          </w:tcPr>
          <w:p w:rsidR="009F3457" w:rsidRPr="00E259D7" w:rsidRDefault="00126F52" w:rsidP="00126F52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Dávka/</w:t>
            </w:r>
            <w:r w:rsidR="009F3457" w:rsidRPr="00E259D7">
              <w:rPr>
                <w:b/>
              </w:rPr>
              <w:t>ha</w:t>
            </w:r>
          </w:p>
        </w:tc>
        <w:tc>
          <w:tcPr>
            <w:tcW w:w="1446" w:type="dxa"/>
          </w:tcPr>
          <w:p w:rsidR="009F3457" w:rsidRPr="00E259D7" w:rsidRDefault="009F3457" w:rsidP="009F3457">
            <w:pPr>
              <w:tabs>
                <w:tab w:val="left" w:pos="3402"/>
              </w:tabs>
              <w:jc w:val="center"/>
              <w:rPr>
                <w:b/>
              </w:rPr>
            </w:pPr>
            <w:r w:rsidRPr="00E259D7">
              <w:rPr>
                <w:b/>
              </w:rPr>
              <w:t xml:space="preserve">Ochranná </w:t>
            </w:r>
          </w:p>
          <w:p w:rsidR="009F3457" w:rsidRPr="00E259D7" w:rsidRDefault="009F3457" w:rsidP="009F3457">
            <w:pPr>
              <w:tabs>
                <w:tab w:val="left" w:pos="3402"/>
              </w:tabs>
              <w:jc w:val="center"/>
              <w:rPr>
                <w:b/>
              </w:rPr>
            </w:pPr>
            <w:r w:rsidRPr="00E259D7">
              <w:rPr>
                <w:b/>
              </w:rPr>
              <w:t>doba</w:t>
            </w:r>
          </w:p>
        </w:tc>
        <w:tc>
          <w:tcPr>
            <w:tcW w:w="1567" w:type="dxa"/>
          </w:tcPr>
          <w:p w:rsidR="009F3457" w:rsidRPr="00E259D7" w:rsidRDefault="009F3457" w:rsidP="009F3457">
            <w:pPr>
              <w:tabs>
                <w:tab w:val="left" w:pos="3402"/>
              </w:tabs>
              <w:jc w:val="center"/>
              <w:rPr>
                <w:b/>
              </w:rPr>
            </w:pPr>
            <w:r w:rsidRPr="00E259D7">
              <w:rPr>
                <w:b/>
              </w:rPr>
              <w:t>Poznámka</w:t>
            </w:r>
          </w:p>
        </w:tc>
      </w:tr>
      <w:tr w:rsidR="009F3457" w:rsidRPr="00E259D7" w:rsidTr="00C21E32">
        <w:trPr>
          <w:cantSplit/>
        </w:trPr>
        <w:tc>
          <w:tcPr>
            <w:tcW w:w="1516" w:type="dxa"/>
          </w:tcPr>
          <w:p w:rsidR="009F3457" w:rsidRPr="00E259D7" w:rsidRDefault="009F3457" w:rsidP="009F3457">
            <w:pPr>
              <w:tabs>
                <w:tab w:val="left" w:pos="3402"/>
              </w:tabs>
              <w:jc w:val="both"/>
            </w:pPr>
            <w:r w:rsidRPr="00E259D7">
              <w:t>repka jarná</w:t>
            </w:r>
            <w:r w:rsidR="002F1699">
              <w:t>,</w:t>
            </w:r>
          </w:p>
          <w:p w:rsidR="00F41510" w:rsidRPr="00E259D7" w:rsidRDefault="009F3457" w:rsidP="009F3457">
            <w:pPr>
              <w:tabs>
                <w:tab w:val="left" w:pos="3402"/>
              </w:tabs>
              <w:jc w:val="both"/>
            </w:pPr>
            <w:r w:rsidRPr="00E259D7">
              <w:t>repka ozimná</w:t>
            </w:r>
          </w:p>
        </w:tc>
        <w:tc>
          <w:tcPr>
            <w:tcW w:w="2688" w:type="dxa"/>
          </w:tcPr>
          <w:p w:rsidR="00631069" w:rsidRPr="00435D0F" w:rsidRDefault="00D54A4D" w:rsidP="00D54A4D">
            <w:pPr>
              <w:tabs>
                <w:tab w:val="left" w:pos="3402"/>
              </w:tabs>
            </w:pPr>
            <w:r>
              <w:t xml:space="preserve"> </w:t>
            </w:r>
            <w:proofErr w:type="spellStart"/>
            <w:r w:rsidR="009E5F32">
              <w:t>f</w:t>
            </w:r>
            <w:r w:rsidR="009E5F32" w:rsidRPr="00E259D7">
              <w:t>ómov</w:t>
            </w:r>
            <w:r w:rsidR="009E5F32">
              <w:t>á</w:t>
            </w:r>
            <w:proofErr w:type="spellEnd"/>
            <w:r w:rsidR="009E5F32">
              <w:t xml:space="preserve"> hniloba repky</w:t>
            </w:r>
          </w:p>
        </w:tc>
        <w:tc>
          <w:tcPr>
            <w:tcW w:w="1972" w:type="dxa"/>
          </w:tcPr>
          <w:p w:rsidR="009F3457" w:rsidRPr="00E259D7" w:rsidRDefault="00631069" w:rsidP="009F3457">
            <w:pPr>
              <w:tabs>
                <w:tab w:val="left" w:pos="3402"/>
              </w:tabs>
              <w:jc w:val="center"/>
            </w:pPr>
            <w:r>
              <w:t>0,35</w:t>
            </w:r>
            <w:r w:rsidR="009F3457">
              <w:t xml:space="preserve"> l</w:t>
            </w:r>
          </w:p>
        </w:tc>
        <w:tc>
          <w:tcPr>
            <w:tcW w:w="1446" w:type="dxa"/>
          </w:tcPr>
          <w:p w:rsidR="009F3457" w:rsidRPr="00E259D7" w:rsidRDefault="009F3457" w:rsidP="009F3457">
            <w:pPr>
              <w:tabs>
                <w:tab w:val="left" w:pos="3402"/>
              </w:tabs>
              <w:jc w:val="center"/>
            </w:pPr>
            <w:r w:rsidRPr="00E259D7">
              <w:t>AT</w:t>
            </w:r>
          </w:p>
        </w:tc>
        <w:tc>
          <w:tcPr>
            <w:tcW w:w="1567" w:type="dxa"/>
          </w:tcPr>
          <w:p w:rsidR="00631069" w:rsidRPr="00E259D7" w:rsidRDefault="00631069" w:rsidP="00473313">
            <w:pPr>
              <w:tabs>
                <w:tab w:val="left" w:pos="3402"/>
              </w:tabs>
              <w:jc w:val="center"/>
            </w:pPr>
          </w:p>
        </w:tc>
      </w:tr>
    </w:tbl>
    <w:p w:rsidR="00A11F45" w:rsidRDefault="00495BCE" w:rsidP="00A11F45">
      <w:pPr>
        <w:pStyle w:val="Zkladntext"/>
        <w:rPr>
          <w:b w:val="0"/>
          <w:sz w:val="10"/>
        </w:rPr>
      </w:pPr>
      <w:r w:rsidRPr="00991E8F">
        <w:rPr>
          <w:b w:val="0"/>
          <w:sz w:val="24"/>
        </w:rPr>
        <w:t xml:space="preserve">Prípravok </w:t>
      </w:r>
      <w:r w:rsidR="00A11F45">
        <w:rPr>
          <w:b w:val="0"/>
          <w:sz w:val="24"/>
        </w:rPr>
        <w:t xml:space="preserve">TOPREX </w:t>
      </w:r>
      <w:r w:rsidRPr="00991E8F">
        <w:rPr>
          <w:b w:val="0"/>
          <w:sz w:val="24"/>
        </w:rPr>
        <w:t>má vedľajší významný účinok proti poliehaniu</w:t>
      </w:r>
      <w:r w:rsidR="00CD2CF5" w:rsidRPr="00991E8F">
        <w:rPr>
          <w:b w:val="0"/>
          <w:sz w:val="24"/>
        </w:rPr>
        <w:t xml:space="preserve"> porastu</w:t>
      </w:r>
      <w:r w:rsidRPr="00991E8F">
        <w:rPr>
          <w:b w:val="0"/>
          <w:sz w:val="24"/>
        </w:rPr>
        <w:t>.</w:t>
      </w:r>
      <w:r w:rsidR="00A11F45" w:rsidRPr="00991E8F">
        <w:rPr>
          <w:b w:val="0"/>
          <w:sz w:val="10"/>
        </w:rPr>
        <w:t xml:space="preserve"> </w:t>
      </w:r>
    </w:p>
    <w:p w:rsidR="00A11F45" w:rsidRDefault="00A11F45" w:rsidP="00A11F45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Prípravok TOPREX dosahuje tiež vedľajšiu účinnosť proti </w:t>
      </w:r>
      <w:proofErr w:type="spellStart"/>
      <w:r>
        <w:rPr>
          <w:b w:val="0"/>
          <w:sz w:val="24"/>
        </w:rPr>
        <w:t>cylindrosporióze</w:t>
      </w:r>
      <w:proofErr w:type="spellEnd"/>
      <w:r>
        <w:rPr>
          <w:b w:val="0"/>
          <w:sz w:val="24"/>
        </w:rPr>
        <w:t xml:space="preserve"> repky.</w:t>
      </w:r>
    </w:p>
    <w:p w:rsidR="009F3457" w:rsidRDefault="009F3457" w:rsidP="009F3457">
      <w:pPr>
        <w:jc w:val="both"/>
      </w:pPr>
    </w:p>
    <w:p w:rsidR="009F3457" w:rsidRPr="000041A2" w:rsidRDefault="00853EB2" w:rsidP="009F3457">
      <w:pPr>
        <w:pStyle w:val="Zkladntext"/>
        <w:rPr>
          <w:caps/>
          <w:sz w:val="24"/>
        </w:rPr>
      </w:pPr>
      <w:r>
        <w:rPr>
          <w:caps/>
          <w:sz w:val="24"/>
        </w:rPr>
        <w:t>POKYNY</w:t>
      </w:r>
      <w:r w:rsidRPr="000041A2">
        <w:rPr>
          <w:caps/>
          <w:sz w:val="24"/>
        </w:rPr>
        <w:t xml:space="preserve"> </w:t>
      </w:r>
      <w:r w:rsidR="009F3457" w:rsidRPr="000041A2">
        <w:rPr>
          <w:caps/>
          <w:sz w:val="24"/>
        </w:rPr>
        <w:t xml:space="preserve">pre aplikáciu </w:t>
      </w:r>
    </w:p>
    <w:p w:rsidR="009E5F32" w:rsidRPr="00CA00CA" w:rsidRDefault="009E5F32" w:rsidP="009E5F32">
      <w:pPr>
        <w:pStyle w:val="Zkladntext"/>
        <w:rPr>
          <w:b w:val="0"/>
          <w:sz w:val="24"/>
        </w:rPr>
      </w:pPr>
      <w:r w:rsidRPr="00CA00CA">
        <w:rPr>
          <w:b w:val="0"/>
          <w:sz w:val="24"/>
        </w:rPr>
        <w:t>Dávka vody: 100 – 400 l/ha.</w:t>
      </w:r>
    </w:p>
    <w:p w:rsidR="00C21E32" w:rsidRDefault="001031D5" w:rsidP="009E5F32">
      <w:pPr>
        <w:pStyle w:val="Zkladntext"/>
        <w:rPr>
          <w:b w:val="0"/>
          <w:sz w:val="24"/>
        </w:rPr>
      </w:pPr>
      <w:r>
        <w:rPr>
          <w:b w:val="0"/>
          <w:sz w:val="24"/>
        </w:rPr>
        <w:t xml:space="preserve">Maximálny počet aplikácií: 1 </w:t>
      </w:r>
      <w:r w:rsidRPr="009E0617">
        <w:rPr>
          <w:b w:val="0"/>
          <w:sz w:val="24"/>
        </w:rPr>
        <w:t>×</w:t>
      </w:r>
      <w:r w:rsidR="00967BE4">
        <w:rPr>
          <w:b w:val="0"/>
          <w:sz w:val="24"/>
        </w:rPr>
        <w:t xml:space="preserve"> za </w:t>
      </w:r>
      <w:r w:rsidR="004D0286">
        <w:rPr>
          <w:b w:val="0"/>
          <w:sz w:val="24"/>
        </w:rPr>
        <w:t xml:space="preserve">3 </w:t>
      </w:r>
      <w:r w:rsidR="00967BE4">
        <w:rPr>
          <w:b w:val="0"/>
          <w:sz w:val="24"/>
        </w:rPr>
        <w:t>rok</w:t>
      </w:r>
      <w:r w:rsidR="004D0286">
        <w:rPr>
          <w:b w:val="0"/>
          <w:sz w:val="24"/>
        </w:rPr>
        <w:t>y</w:t>
      </w:r>
      <w:r w:rsidR="00967BE4">
        <w:rPr>
          <w:b w:val="0"/>
          <w:sz w:val="24"/>
        </w:rPr>
        <w:t xml:space="preserve"> na jar</w:t>
      </w:r>
      <w:r w:rsidR="00F055AF">
        <w:rPr>
          <w:b w:val="0"/>
          <w:sz w:val="24"/>
        </w:rPr>
        <w:t xml:space="preserve"> na tom istom pozemku</w:t>
      </w:r>
      <w:r w:rsidR="00754D47">
        <w:rPr>
          <w:b w:val="0"/>
          <w:sz w:val="24"/>
        </w:rPr>
        <w:t>.</w:t>
      </w:r>
    </w:p>
    <w:p w:rsidR="009E5F32" w:rsidRDefault="009E5F32" w:rsidP="009E5F32">
      <w:pPr>
        <w:pStyle w:val="Zkladntext"/>
        <w:rPr>
          <w:b w:val="0"/>
          <w:sz w:val="24"/>
        </w:rPr>
      </w:pPr>
      <w:r w:rsidRPr="00CA00CA">
        <w:rPr>
          <w:b w:val="0"/>
          <w:sz w:val="24"/>
        </w:rPr>
        <w:t xml:space="preserve">Ošetrenie repky proti </w:t>
      </w:r>
      <w:proofErr w:type="spellStart"/>
      <w:r w:rsidRPr="00CA00CA">
        <w:rPr>
          <w:b w:val="0"/>
          <w:sz w:val="24"/>
        </w:rPr>
        <w:t>fómovej</w:t>
      </w:r>
      <w:proofErr w:type="spellEnd"/>
      <w:r w:rsidRPr="00CA00CA">
        <w:rPr>
          <w:b w:val="0"/>
          <w:sz w:val="24"/>
        </w:rPr>
        <w:t xml:space="preserve"> hnilobe repky vykonajte v dávke 0,35 l na ha preventívne, najneskôr pri zistení príznakov napadnutia od rastovej fázy, kedy je 1. </w:t>
      </w:r>
      <w:proofErr w:type="spellStart"/>
      <w:r w:rsidRPr="00CA00CA">
        <w:rPr>
          <w:b w:val="0"/>
          <w:sz w:val="24"/>
        </w:rPr>
        <w:t>internódium</w:t>
      </w:r>
      <w:proofErr w:type="spellEnd"/>
      <w:r w:rsidRPr="00CA00CA">
        <w:rPr>
          <w:b w:val="0"/>
          <w:sz w:val="24"/>
        </w:rPr>
        <w:t xml:space="preserve"> viditeľné,</w:t>
      </w:r>
      <w:r w:rsidR="001031D5">
        <w:rPr>
          <w:b w:val="0"/>
          <w:sz w:val="24"/>
        </w:rPr>
        <w:t xml:space="preserve"> </w:t>
      </w:r>
      <w:r w:rsidRPr="00CA00CA">
        <w:rPr>
          <w:b w:val="0"/>
          <w:sz w:val="24"/>
        </w:rPr>
        <w:t>do rastovej fázy, kedy sú samostatné kvetné pupene (hlavné kvetenstvo) viditeľné</w:t>
      </w:r>
      <w:r w:rsidR="00473313" w:rsidRPr="00CA00CA">
        <w:rPr>
          <w:b w:val="0"/>
          <w:sz w:val="24"/>
        </w:rPr>
        <w:t>, ale stále uzavreté</w:t>
      </w:r>
      <w:r w:rsidR="0026486D">
        <w:rPr>
          <w:b w:val="0"/>
          <w:sz w:val="24"/>
        </w:rPr>
        <w:t xml:space="preserve"> (BBCH 31 – 55). Ošetrením</w:t>
      </w:r>
      <w:r w:rsidRPr="00CA00CA">
        <w:rPr>
          <w:b w:val="0"/>
          <w:sz w:val="24"/>
        </w:rPr>
        <w:t xml:space="preserve"> sa zároveň reguluje rast rastlín a chráni porast proti poliehaniu.</w:t>
      </w:r>
    </w:p>
    <w:p w:rsidR="009F3457" w:rsidRPr="00E259D7" w:rsidRDefault="009F3457" w:rsidP="009F3457">
      <w:pPr>
        <w:jc w:val="both"/>
      </w:pPr>
    </w:p>
    <w:p w:rsidR="009F3457" w:rsidRPr="000041A2" w:rsidRDefault="009F3457" w:rsidP="0026486D">
      <w:pPr>
        <w:jc w:val="both"/>
        <w:rPr>
          <w:b/>
          <w:caps/>
        </w:rPr>
      </w:pPr>
      <w:r w:rsidRPr="000041A2">
        <w:rPr>
          <w:b/>
          <w:caps/>
        </w:rPr>
        <w:t>Informácie o možnej fytotoxicite, odrodovej citlivosti a</w:t>
      </w:r>
      <w:r w:rsidR="009E5F32">
        <w:rPr>
          <w:b/>
          <w:caps/>
        </w:rPr>
        <w:t xml:space="preserve"> všetkých ďalších priamych a</w:t>
      </w:r>
      <w:r w:rsidR="0026486D">
        <w:rPr>
          <w:b/>
          <w:caps/>
        </w:rPr>
        <w:t xml:space="preserve"> nepriamych nepriaznivých </w:t>
      </w:r>
      <w:r w:rsidRPr="000041A2">
        <w:rPr>
          <w:b/>
          <w:caps/>
        </w:rPr>
        <w:t>účinkoch na rastliny alebo rastlinné produkty</w:t>
      </w:r>
    </w:p>
    <w:p w:rsidR="00473313" w:rsidRDefault="009F3457" w:rsidP="009F3457">
      <w:r w:rsidRPr="00E259D7">
        <w:rPr>
          <w:iCs/>
        </w:rPr>
        <w:t xml:space="preserve">Nie sú známe, ani neboli pozorované. </w:t>
      </w:r>
      <w:r w:rsidRPr="00E259D7">
        <w:t xml:space="preserve">Ak je prípravok aplikovaný v súlade s platným rozsahom použitia, rastliny sú na prípravok veľmi tolerantné. </w:t>
      </w:r>
    </w:p>
    <w:p w:rsidR="009F3457" w:rsidRPr="00E259D7" w:rsidRDefault="009F3457" w:rsidP="009F3457">
      <w:pPr>
        <w:rPr>
          <w:iCs/>
        </w:rPr>
      </w:pPr>
    </w:p>
    <w:p w:rsidR="009F3457" w:rsidRDefault="009F3457" w:rsidP="009F3457">
      <w:pPr>
        <w:rPr>
          <w:b/>
          <w:iCs/>
          <w:caps/>
        </w:rPr>
      </w:pPr>
      <w:r w:rsidRPr="000041A2">
        <w:rPr>
          <w:b/>
          <w:iCs/>
          <w:caps/>
        </w:rPr>
        <w:t xml:space="preserve">Opatrenia proti vzniku rezistenicie </w:t>
      </w:r>
    </w:p>
    <w:p w:rsidR="00E250BF" w:rsidRPr="001031D5" w:rsidRDefault="00E250BF" w:rsidP="00E250BF">
      <w:pPr>
        <w:tabs>
          <w:tab w:val="left" w:pos="3402"/>
        </w:tabs>
        <w:jc w:val="both"/>
      </w:pPr>
      <w:r w:rsidRPr="001031D5">
        <w:rPr>
          <w:iCs/>
        </w:rPr>
        <w:t xml:space="preserve">Prípravok </w:t>
      </w:r>
      <w:r w:rsidR="001031D5" w:rsidRPr="001031D5">
        <w:rPr>
          <w:iCs/>
        </w:rPr>
        <w:t>TOPREX</w:t>
      </w:r>
      <w:r w:rsidRPr="001031D5">
        <w:rPr>
          <w:iCs/>
        </w:rPr>
        <w:t xml:space="preserve"> obsahuje dve účinné látky a to: </w:t>
      </w:r>
      <w:proofErr w:type="spellStart"/>
      <w:r w:rsidRPr="001031D5">
        <w:rPr>
          <w:iCs/>
        </w:rPr>
        <w:t>difenoconazole</w:t>
      </w:r>
      <w:proofErr w:type="spellEnd"/>
      <w:r w:rsidRPr="001031D5">
        <w:rPr>
          <w:iCs/>
        </w:rPr>
        <w:t xml:space="preserve"> a </w:t>
      </w:r>
      <w:proofErr w:type="spellStart"/>
      <w:r w:rsidR="001031D5" w:rsidRPr="001031D5">
        <w:rPr>
          <w:iCs/>
        </w:rPr>
        <w:t>paclobutrazol</w:t>
      </w:r>
      <w:proofErr w:type="spellEnd"/>
      <w:r w:rsidRPr="001031D5">
        <w:rPr>
          <w:iCs/>
        </w:rPr>
        <w:t xml:space="preserve">. </w:t>
      </w:r>
      <w:r w:rsidRPr="001031D5">
        <w:t xml:space="preserve">Obe účinné látky patria podľa FRAC do chemickej skupiny DMI </w:t>
      </w:r>
      <w:proofErr w:type="spellStart"/>
      <w:r w:rsidRPr="001031D5">
        <w:t>triazolov</w:t>
      </w:r>
      <w:proofErr w:type="spellEnd"/>
      <w:r w:rsidRPr="001031D5">
        <w:t xml:space="preserve"> (FRAC CODE: G1). K zabráneniu vzniku rezistencie neaplikujte tento prípravok alebo iný, ktorý obsahuje účinnú látku zo skupiny DMI po sebe bez prerušenia ošetrením iným </w:t>
      </w:r>
      <w:proofErr w:type="spellStart"/>
      <w:r w:rsidRPr="001031D5">
        <w:t>fungicídom</w:t>
      </w:r>
      <w:proofErr w:type="spellEnd"/>
      <w:r w:rsidRPr="001031D5">
        <w:t xml:space="preserve"> s odlišným mechanizmom účinku. </w:t>
      </w:r>
      <w:r w:rsidR="003E61C5" w:rsidRPr="001031D5">
        <w:t>K zabráneniu vzniku rezistencie aplikujte prípravok TOPREX v súlade s platnou etiketou a návodom na použitie.</w:t>
      </w:r>
    </w:p>
    <w:p w:rsidR="009E5F32" w:rsidRPr="000041A2" w:rsidRDefault="009E5F32" w:rsidP="009F3457">
      <w:pPr>
        <w:rPr>
          <w:iCs/>
          <w:caps/>
        </w:rPr>
      </w:pPr>
    </w:p>
    <w:p w:rsidR="009E5F32" w:rsidRPr="00CA00CA" w:rsidRDefault="009E5F32" w:rsidP="009E5F32">
      <w:pPr>
        <w:pStyle w:val="CM5"/>
        <w:spacing w:after="0"/>
        <w:rPr>
          <w:rFonts w:ascii="Times New Roman" w:hAnsi="Times New Roman"/>
          <w:b/>
          <w:caps/>
          <w:sz w:val="24"/>
          <w:lang w:val="sk-SK"/>
        </w:rPr>
      </w:pPr>
      <w:r w:rsidRPr="00CA00CA">
        <w:rPr>
          <w:rFonts w:ascii="Times New Roman" w:hAnsi="Times New Roman"/>
          <w:b/>
          <w:caps/>
          <w:sz w:val="24"/>
          <w:lang w:val="sk-SK"/>
        </w:rPr>
        <w:t>VPLYV NA úRODU</w:t>
      </w:r>
    </w:p>
    <w:p w:rsidR="009E5F32" w:rsidRPr="00CA00CA" w:rsidRDefault="009E5F32" w:rsidP="009E5F32">
      <w:pPr>
        <w:pStyle w:val="CM5"/>
        <w:spacing w:after="0"/>
        <w:rPr>
          <w:rFonts w:ascii="Times New Roman" w:hAnsi="Times New Roman"/>
          <w:sz w:val="24"/>
          <w:lang w:val="sk-SK"/>
        </w:rPr>
      </w:pPr>
      <w:r w:rsidRPr="00CA00CA">
        <w:rPr>
          <w:rFonts w:ascii="Times New Roman" w:hAnsi="Times New Roman"/>
          <w:sz w:val="24"/>
          <w:lang w:val="sk-SK"/>
        </w:rPr>
        <w:t>Nemá nepriaznivý vplyv na kvalitu, kvantitu a transformačné procesy.</w:t>
      </w:r>
    </w:p>
    <w:p w:rsidR="009E5F32" w:rsidRPr="00CA00CA" w:rsidRDefault="009E5F32" w:rsidP="009E5F32">
      <w:pPr>
        <w:pStyle w:val="CM5"/>
        <w:spacing w:after="0"/>
        <w:rPr>
          <w:rFonts w:ascii="Times New Roman" w:hAnsi="Times New Roman"/>
          <w:b/>
          <w:caps/>
          <w:sz w:val="24"/>
          <w:lang w:val="sk-SK"/>
        </w:rPr>
      </w:pPr>
    </w:p>
    <w:p w:rsidR="009E5F32" w:rsidRPr="001031D5" w:rsidRDefault="009E5F32" w:rsidP="009E5F32">
      <w:pPr>
        <w:pStyle w:val="CM5"/>
        <w:spacing w:after="0"/>
        <w:rPr>
          <w:rFonts w:ascii="Times New Roman" w:hAnsi="Times New Roman"/>
          <w:b/>
          <w:caps/>
          <w:sz w:val="24"/>
          <w:lang w:val="sk-SK"/>
        </w:rPr>
      </w:pPr>
      <w:r w:rsidRPr="001031D5">
        <w:rPr>
          <w:rFonts w:ascii="Times New Roman" w:hAnsi="Times New Roman"/>
          <w:b/>
          <w:caps/>
          <w:sz w:val="24"/>
          <w:lang w:val="sk-SK"/>
        </w:rPr>
        <w:t>VPLYV NA následné, náhradné a susediace plodiny</w:t>
      </w:r>
    </w:p>
    <w:p w:rsidR="009E5F32" w:rsidRPr="001031D5" w:rsidRDefault="009E5F32" w:rsidP="009E5F32">
      <w:pPr>
        <w:pStyle w:val="CM5"/>
        <w:spacing w:after="0"/>
        <w:rPr>
          <w:rFonts w:ascii="Times New Roman" w:hAnsi="Times New Roman"/>
          <w:sz w:val="24"/>
          <w:lang w:val="sk-SK"/>
        </w:rPr>
      </w:pPr>
      <w:r w:rsidRPr="001031D5">
        <w:rPr>
          <w:rFonts w:ascii="Times New Roman" w:hAnsi="Times New Roman"/>
          <w:sz w:val="24"/>
          <w:lang w:val="sk-SK"/>
        </w:rPr>
        <w:t>Prípravok TOPREX nemá nepriaznivý vplyv na násle</w:t>
      </w:r>
      <w:bookmarkStart w:id="0" w:name="_GoBack"/>
      <w:bookmarkEnd w:id="0"/>
      <w:r w:rsidRPr="001031D5">
        <w:rPr>
          <w:rFonts w:ascii="Times New Roman" w:hAnsi="Times New Roman"/>
          <w:sz w:val="24"/>
          <w:lang w:val="sk-SK"/>
        </w:rPr>
        <w:t>dné, náhradné ani susediace plodiny.</w:t>
      </w:r>
    </w:p>
    <w:p w:rsidR="00764739" w:rsidRPr="001031D5" w:rsidRDefault="00764739" w:rsidP="00764739">
      <w:pPr>
        <w:jc w:val="both"/>
      </w:pPr>
      <w:r w:rsidRPr="001031D5">
        <w:t>Zabráňte úletu postrekovej kvapaliny!</w:t>
      </w:r>
    </w:p>
    <w:p w:rsidR="009E5F32" w:rsidRPr="00CA00CA" w:rsidRDefault="009E5F32" w:rsidP="009E5F32">
      <w:pPr>
        <w:pStyle w:val="Default"/>
        <w:rPr>
          <w:rFonts w:ascii="Times New Roman" w:hAnsi="Times New Roman"/>
          <w:b/>
          <w:caps/>
          <w:lang w:val="sk-SK"/>
        </w:rPr>
      </w:pPr>
    </w:p>
    <w:p w:rsidR="009E5F32" w:rsidRPr="00CA00CA" w:rsidRDefault="009E5F32" w:rsidP="009E5F32">
      <w:pPr>
        <w:pStyle w:val="Default"/>
        <w:rPr>
          <w:rFonts w:ascii="Times New Roman" w:hAnsi="Times New Roman"/>
          <w:b/>
          <w:caps/>
          <w:lang w:val="sk-SK"/>
        </w:rPr>
      </w:pPr>
      <w:r w:rsidRPr="00CA00CA">
        <w:rPr>
          <w:rFonts w:ascii="Times New Roman" w:hAnsi="Times New Roman"/>
          <w:b/>
          <w:caps/>
          <w:lang w:val="sk-SK"/>
        </w:rPr>
        <w:t>VPLYV na užitočné a iné necieľové organizmy</w:t>
      </w:r>
    </w:p>
    <w:p w:rsidR="009E5F32" w:rsidRPr="00C0669E" w:rsidRDefault="009E5F32" w:rsidP="009E5F32">
      <w:pPr>
        <w:pStyle w:val="Default"/>
        <w:rPr>
          <w:rFonts w:ascii="Times New Roman" w:hAnsi="Times New Roman"/>
          <w:lang w:val="sk-SK"/>
        </w:rPr>
      </w:pPr>
      <w:r w:rsidRPr="00CA00CA">
        <w:rPr>
          <w:rFonts w:ascii="Times New Roman" w:hAnsi="Times New Roman"/>
          <w:lang w:val="sk-SK"/>
        </w:rPr>
        <w:t>Nemá nepriaznivý vplyv na užitočné a iné necieľové organizmy.</w:t>
      </w:r>
    </w:p>
    <w:p w:rsidR="009E5F32" w:rsidRPr="00DC204D" w:rsidRDefault="009E5F32" w:rsidP="009F3457">
      <w:pPr>
        <w:jc w:val="both"/>
      </w:pPr>
    </w:p>
    <w:p w:rsidR="009F3457" w:rsidRDefault="009F3457" w:rsidP="009F3457">
      <w:pPr>
        <w:pStyle w:val="CM5"/>
        <w:spacing w:after="0"/>
        <w:rPr>
          <w:rFonts w:ascii="Times New Roman" w:hAnsi="Times New Roman"/>
          <w:b/>
          <w:caps/>
          <w:sz w:val="24"/>
          <w:lang w:val="sk-SK"/>
        </w:rPr>
      </w:pPr>
      <w:r w:rsidRPr="00DC204D">
        <w:rPr>
          <w:rFonts w:ascii="Times New Roman" w:hAnsi="Times New Roman"/>
          <w:b/>
          <w:caps/>
          <w:sz w:val="24"/>
          <w:lang w:val="sk-SK"/>
        </w:rPr>
        <w:t>Príprava postrekovej kvapaliny a zneškodnenie obalov</w:t>
      </w:r>
    </w:p>
    <w:p w:rsidR="009E5F32" w:rsidRPr="00DC204D" w:rsidRDefault="009E5F32" w:rsidP="009E5F32">
      <w:pPr>
        <w:jc w:val="both"/>
        <w:rPr>
          <w:sz w:val="22"/>
        </w:rPr>
      </w:pPr>
      <w:r w:rsidRPr="00F567A0">
        <w:t>Prípravok je pred použitím nutné dôkladne pretrepať ešte v obale. Odmerané množstvo prípravku vlejte za stáleho miešania do nádrže postrekovača naplnenej</w:t>
      </w:r>
      <w:r w:rsidRPr="00DC204D">
        <w:t xml:space="preserve"> do polovice vodou a doplňte na požadovaný objem. Prázdny obal z tohto prípravku vypláchnite vodou, a to buď ručne (3 krát po sebe) alebo </w:t>
      </w:r>
      <w:r>
        <w:t>v primiešavacom zariadení,</w:t>
      </w:r>
      <w:r w:rsidR="001031D5">
        <w:t xml:space="preserve"> ktoré je súčasťou postrekovača.</w:t>
      </w:r>
      <w:r w:rsidRPr="00DC204D">
        <w:t xml:space="preserve"> Výplachovú </w:t>
      </w:r>
      <w:r>
        <w:t xml:space="preserve">vodu </w:t>
      </w:r>
      <w:r w:rsidRPr="00DC204D">
        <w:t>vlejte do nádrže postrekovača a obal odovzdajte vášmu zmluvnému subjektu, ktorý má oprávnenie na zber a zneškodňovanie prázdnych obalov.</w:t>
      </w:r>
      <w:r>
        <w:t xml:space="preserve"> </w:t>
      </w:r>
      <w:r w:rsidR="00061157">
        <w:t xml:space="preserve">Pripravte len také množstvo postrekovej kvapaliny, ktoré spotrebujete. </w:t>
      </w:r>
      <w:r>
        <w:t>Zákaz opätovného použitia obalu alebo jeho použitia na iné účely.</w:t>
      </w:r>
    </w:p>
    <w:p w:rsidR="009E5F32" w:rsidRPr="001031D5" w:rsidRDefault="009E5F32" w:rsidP="001031D5">
      <w:pPr>
        <w:jc w:val="both"/>
      </w:pPr>
      <w:r w:rsidRPr="00DC204D">
        <w:lastRenderedPageBreak/>
        <w:t xml:space="preserve">Miešacie zariadenie je nutné nechať zapnuté aj počas jazdy i samotnej aplikácii. V prípade nutného prerušenia postreku je potrebné znova zapnúť miešanie a postrekovú kvapalinu pred aplikáciou premiešať. </w:t>
      </w:r>
    </w:p>
    <w:p w:rsidR="009F3457" w:rsidRPr="00DC204D" w:rsidRDefault="009F3457" w:rsidP="009F3457">
      <w:pPr>
        <w:pStyle w:val="Zkladntext2"/>
        <w:rPr>
          <w:b/>
          <w:u w:val="single"/>
        </w:rPr>
      </w:pPr>
    </w:p>
    <w:p w:rsidR="009F3457" w:rsidRPr="000041A2" w:rsidRDefault="009F3457" w:rsidP="009F3457">
      <w:pPr>
        <w:jc w:val="both"/>
        <w:rPr>
          <w:b/>
          <w:caps/>
        </w:rPr>
      </w:pPr>
      <w:r w:rsidRPr="000041A2">
        <w:rPr>
          <w:b/>
          <w:caps/>
        </w:rPr>
        <w:t>Čistenie aplikačného zariadenia</w:t>
      </w:r>
    </w:p>
    <w:p w:rsidR="009F3457" w:rsidRPr="00E259D7" w:rsidRDefault="009F3457" w:rsidP="009F3457">
      <w:pPr>
        <w:jc w:val="both"/>
      </w:pPr>
      <w:r w:rsidRPr="00E259D7">
        <w:t>Aplikačné zariadenie a osobné ochranné pracovné prostriedky asanujte 3 %-</w:t>
      </w:r>
      <w:proofErr w:type="spellStart"/>
      <w:r w:rsidRPr="00E259D7">
        <w:t>ným</w:t>
      </w:r>
      <w:proofErr w:type="spellEnd"/>
      <w:r w:rsidRPr="00E259D7">
        <w:t xml:space="preserve"> roztokom uhličitanu sodného (sóda) a opláchnite vodou</w:t>
      </w:r>
      <w:r w:rsidRPr="00E259D7">
        <w:rPr>
          <w:sz w:val="22"/>
        </w:rPr>
        <w:t>.</w:t>
      </w:r>
    </w:p>
    <w:p w:rsidR="009F3457" w:rsidRPr="00E259D7" w:rsidRDefault="009F3457" w:rsidP="009F3457">
      <w:pPr>
        <w:pStyle w:val="CM5"/>
        <w:spacing w:after="0"/>
        <w:rPr>
          <w:rFonts w:ascii="Times New Roman" w:hAnsi="Times New Roman"/>
          <w:b/>
          <w:sz w:val="24"/>
          <w:lang w:val="sk-SK"/>
        </w:rPr>
      </w:pPr>
    </w:p>
    <w:p w:rsidR="009F3457" w:rsidRPr="000041A2" w:rsidRDefault="009F3457" w:rsidP="009F3457">
      <w:pPr>
        <w:pStyle w:val="CM5"/>
        <w:spacing w:after="0"/>
        <w:rPr>
          <w:rFonts w:ascii="Times New Roman" w:hAnsi="Times New Roman"/>
          <w:b/>
          <w:caps/>
          <w:sz w:val="24"/>
          <w:lang w:val="sk-SK"/>
        </w:rPr>
      </w:pPr>
      <w:r w:rsidRPr="000041A2">
        <w:rPr>
          <w:rFonts w:ascii="Times New Roman" w:hAnsi="Times New Roman"/>
          <w:b/>
          <w:caps/>
          <w:sz w:val="24"/>
          <w:lang w:val="sk-SK"/>
        </w:rPr>
        <w:t>Bezpečnostné opatrenia</w:t>
      </w:r>
    </w:p>
    <w:p w:rsidR="009F3457" w:rsidRPr="00E259D7" w:rsidRDefault="009F3457" w:rsidP="009F3457">
      <w:pPr>
        <w:pStyle w:val="CM4"/>
        <w:spacing w:after="0"/>
        <w:jc w:val="both"/>
        <w:rPr>
          <w:rFonts w:ascii="Times New Roman" w:hAnsi="Times New Roman"/>
          <w:sz w:val="24"/>
          <w:lang w:val="sk-SK"/>
        </w:rPr>
      </w:pPr>
      <w:r w:rsidRPr="00E259D7">
        <w:rPr>
          <w:rFonts w:ascii="Times New Roman" w:hAnsi="Times New Roman"/>
          <w:sz w:val="24"/>
          <w:lang w:val="sk-SK"/>
        </w:rPr>
        <w:t>Pri práci s prípravkom používajte ochranný pracovný oblek, ochranný štít na tvár, resp. ochranné okuliare, respirátor proti výparom, zásteru, gumové rukavice a gumové topánky, prípadne iné komerčne dostupné schválené ekvivalenty uvedenej typovej ochrany. Pri riedení prípravku používajte zásteru z pogumovaného textilu. Postrek vykonávajte len za bezvetria alebo mierneho vánku, a v tom prípade v smere vetra od pracujúcich. Pri práci a po nej až do vyzlečenia ochranného odevu a dôkladného umytia celého tela teplou vodou a mydlom nejedzte, nepite a nefajčite! Postrek nesmie zasiahnuť susedné plodiny !</w:t>
      </w:r>
    </w:p>
    <w:p w:rsidR="009F3457" w:rsidRPr="00E259D7" w:rsidRDefault="009F3457" w:rsidP="009F3457">
      <w:r w:rsidRPr="00E259D7">
        <w:t>Prípadne vzniknutý požiar haste hasiacou penou, hasiacim práškom, prípadne pieskom alebo zeminou. Vodu použite len výnimočne, a to vo forme jemn</w:t>
      </w:r>
      <w:r>
        <w:t xml:space="preserve">ej </w:t>
      </w:r>
      <w:r w:rsidRPr="00E259D7">
        <w:t>hm</w:t>
      </w:r>
      <w:r>
        <w:t>ly</w:t>
      </w:r>
      <w:r w:rsidRPr="00E259D7">
        <w:t xml:space="preserve"> v tých prípadoch, keď je dokonale zabezpečené aby kontaminovaná voda z miesta požiaru neprenikla do verejnej kanalizácie, do zdrojov spodných a recipientov povrchových vôd a nezasiahla poľnohospodársku pôdu.</w:t>
      </w:r>
    </w:p>
    <w:p w:rsidR="009F3457" w:rsidRPr="00E259D7" w:rsidRDefault="009F3457" w:rsidP="009F3457">
      <w:r w:rsidRPr="00D131E8">
        <w:rPr>
          <w:i/>
          <w:u w:val="single"/>
        </w:rPr>
        <w:t>Upozornenie</w:t>
      </w:r>
      <w:r w:rsidRPr="00E259D7">
        <w:t>: pri zásahu proti požiaru použite izolačné dýchacie prístroje, pretože pri hasení môže dochádzať ku vzniku toxických splodín.</w:t>
      </w:r>
    </w:p>
    <w:p w:rsidR="009F3457" w:rsidRPr="00E259D7" w:rsidRDefault="009F3457" w:rsidP="009F3457">
      <w:pPr>
        <w:pStyle w:val="CM4"/>
        <w:spacing w:after="0"/>
        <w:jc w:val="both"/>
        <w:rPr>
          <w:rFonts w:ascii="Times New Roman" w:hAnsi="Times New Roman"/>
          <w:sz w:val="24"/>
          <w:lang w:val="sk-SK"/>
        </w:rPr>
      </w:pPr>
    </w:p>
    <w:p w:rsidR="009F3457" w:rsidRPr="000041A2" w:rsidRDefault="009F3457" w:rsidP="009F3457">
      <w:pPr>
        <w:pStyle w:val="Nadpis2"/>
        <w:rPr>
          <w:caps/>
        </w:rPr>
      </w:pPr>
      <w:r w:rsidRPr="000041A2">
        <w:rPr>
          <w:caps/>
        </w:rPr>
        <w:t>Prvá pomoc</w:t>
      </w:r>
    </w:p>
    <w:tbl>
      <w:tblPr>
        <w:tblW w:w="9755" w:type="dxa"/>
        <w:tblLook w:val="01E0" w:firstRow="1" w:lastRow="1" w:firstColumn="1" w:lastColumn="1" w:noHBand="0" w:noVBand="0"/>
      </w:tblPr>
      <w:tblGrid>
        <w:gridCol w:w="2808"/>
        <w:gridCol w:w="6947"/>
      </w:tblGrid>
      <w:tr w:rsidR="009F3457" w:rsidRPr="00E259D7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caps w:val="0"/>
                <w:noProof/>
                <w:sz w:val="24"/>
                <w:szCs w:val="24"/>
              </w:rPr>
              <w:t>Všeobecné odporučenia: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MSDSpolozky"/>
              <w:spacing w:before="0" w:after="0"/>
              <w:rPr>
                <w:b w:val="0"/>
                <w:caps w:val="0"/>
                <w:noProof/>
                <w:sz w:val="24"/>
                <w:szCs w:val="24"/>
              </w:rPr>
            </w:pPr>
            <w:r w:rsidRPr="00FA22B0">
              <w:rPr>
                <w:b w:val="0"/>
                <w:caps w:val="0"/>
                <w:noProof/>
                <w:sz w:val="24"/>
                <w:szCs w:val="24"/>
              </w:rPr>
              <w:t>Keď voláte na telefónne číslo tiesňového volania spoločnosti Syngenta, toxikologické stredisko alebo idete na lekárske ošetrenie, majte so sebou obal, etiketu alebo kartu bezpečnostných údajov tohto prípravku.</w:t>
            </w:r>
          </w:p>
        </w:tc>
      </w:tr>
      <w:tr w:rsidR="009F3457" w:rsidRPr="00E259D7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caps w:val="0"/>
                <w:noProof/>
                <w:sz w:val="24"/>
                <w:szCs w:val="24"/>
              </w:rPr>
              <w:t>Po vdýchnutí: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Vyveďte postihnutého na čerstvý vzduch.</w:t>
            </w:r>
          </w:p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Ak postihnutý dýcha nepravidelne, alebo nedýcha vôbec, začnite s umelým dýchaním.</w:t>
            </w:r>
          </w:p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Postihnutého udržiavajte v teple a kľude.</w:t>
            </w:r>
          </w:p>
          <w:p w:rsidR="009F3457" w:rsidRPr="00FA22B0" w:rsidRDefault="009F3457" w:rsidP="009F3457">
            <w:pPr>
              <w:pStyle w:val="MSDSpolozky"/>
              <w:spacing w:before="0" w:after="0"/>
              <w:rPr>
                <w:b w:val="0"/>
                <w:caps w:val="0"/>
                <w:noProof/>
                <w:sz w:val="24"/>
                <w:szCs w:val="24"/>
              </w:rPr>
            </w:pPr>
            <w:r w:rsidRPr="00FA22B0">
              <w:rPr>
                <w:b w:val="0"/>
                <w:caps w:val="0"/>
                <w:noProof/>
                <w:sz w:val="24"/>
                <w:szCs w:val="24"/>
              </w:rPr>
              <w:t>Ihneď volajte lekára alebo toxikologické stredisko.</w:t>
            </w:r>
          </w:p>
        </w:tc>
      </w:tr>
      <w:tr w:rsidR="009F3457" w:rsidRPr="00FA22B0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jc w:val="left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caps w:val="0"/>
                <w:noProof/>
                <w:sz w:val="24"/>
                <w:szCs w:val="24"/>
              </w:rPr>
              <w:t>Po zasiahnutí pokožky: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Ihneď postihnutého vyzlečte zo zasiahnutého odevu.</w:t>
            </w:r>
          </w:p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Zasiahnuté miesto umyte veľkým množstvom vody.</w:t>
            </w:r>
          </w:p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Ak podráždenie pokožky pretrváva, vyhľadajte lekára.</w:t>
            </w:r>
          </w:p>
          <w:p w:rsidR="009F3457" w:rsidRPr="00FA22B0" w:rsidRDefault="009F3457" w:rsidP="009F3457">
            <w:pPr>
              <w:pStyle w:val="MSDSpolozky"/>
              <w:spacing w:before="0" w:after="0"/>
              <w:rPr>
                <w:b w:val="0"/>
                <w:caps w:val="0"/>
                <w:noProof/>
                <w:sz w:val="24"/>
                <w:szCs w:val="24"/>
              </w:rPr>
            </w:pPr>
            <w:r w:rsidRPr="00FA22B0">
              <w:rPr>
                <w:b w:val="0"/>
                <w:caps w:val="0"/>
                <w:noProof/>
                <w:sz w:val="24"/>
                <w:szCs w:val="24"/>
              </w:rPr>
              <w:t>Znečistený odev pred opätovným použitím vyperte.</w:t>
            </w:r>
          </w:p>
        </w:tc>
      </w:tr>
      <w:tr w:rsidR="009F3457" w:rsidRPr="00E259D7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caps w:val="0"/>
                <w:noProof/>
                <w:sz w:val="24"/>
                <w:szCs w:val="24"/>
              </w:rPr>
              <w:t>Po zasiahnutí očí: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Oči, vrátane pod viečkami vyplachujte veľkým množstvom vody po dobu najmenej 15 minút.</w:t>
            </w:r>
          </w:p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Vyberte kontaktné šošovky.</w:t>
            </w:r>
          </w:p>
          <w:p w:rsidR="009F3457" w:rsidRPr="00FA22B0" w:rsidRDefault="009F3457" w:rsidP="009F3457">
            <w:pPr>
              <w:pStyle w:val="MSDSpolozky"/>
              <w:spacing w:before="0" w:after="0"/>
              <w:rPr>
                <w:b w:val="0"/>
                <w:caps w:val="0"/>
                <w:noProof/>
                <w:sz w:val="24"/>
                <w:szCs w:val="24"/>
              </w:rPr>
            </w:pPr>
            <w:r w:rsidRPr="00FA22B0">
              <w:rPr>
                <w:b w:val="0"/>
                <w:caps w:val="0"/>
                <w:noProof/>
                <w:sz w:val="24"/>
                <w:szCs w:val="24"/>
              </w:rPr>
              <w:t>Ihneď vyhľadajte lekárske ošetrenie.</w:t>
            </w:r>
          </w:p>
        </w:tc>
      </w:tr>
      <w:tr w:rsidR="009F3457" w:rsidRPr="00FA22B0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caps w:val="0"/>
                <w:noProof/>
                <w:sz w:val="24"/>
                <w:szCs w:val="24"/>
              </w:rPr>
              <w:t>Po požití: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Po požití prípravku ihneď vyhľadajte lekárske ošetrenie a lekárovi ukážte tento obal alebo etiketu.</w:t>
            </w:r>
          </w:p>
          <w:p w:rsidR="009F3457" w:rsidRPr="00FA22B0" w:rsidRDefault="009F3457" w:rsidP="009F3457">
            <w:pPr>
              <w:pStyle w:val="MSDSpolozky"/>
              <w:spacing w:before="0" w:after="0"/>
              <w:rPr>
                <w:b w:val="0"/>
                <w:caps w:val="0"/>
                <w:noProof/>
                <w:sz w:val="24"/>
                <w:szCs w:val="24"/>
              </w:rPr>
            </w:pPr>
            <w:r w:rsidRPr="00FA22B0">
              <w:rPr>
                <w:b w:val="0"/>
                <w:caps w:val="0"/>
                <w:noProof/>
                <w:sz w:val="24"/>
                <w:szCs w:val="24"/>
              </w:rPr>
              <w:t>Nevyvolávajte zvracanie</w:t>
            </w:r>
          </w:p>
        </w:tc>
      </w:tr>
      <w:tr w:rsidR="009F3457" w:rsidRPr="00FA22B0" w:rsidTr="009F3457">
        <w:trPr>
          <w:trHeight w:val="254"/>
        </w:trPr>
        <w:tc>
          <w:tcPr>
            <w:tcW w:w="2808" w:type="dxa"/>
          </w:tcPr>
          <w:p w:rsidR="009F3457" w:rsidRPr="00FA22B0" w:rsidRDefault="009F3457" w:rsidP="009F3457">
            <w:pPr>
              <w:pStyle w:val="MSDSpolozky"/>
              <w:spacing w:before="0" w:after="0"/>
              <w:jc w:val="left"/>
              <w:rPr>
                <w:caps w:val="0"/>
                <w:noProof/>
                <w:sz w:val="24"/>
                <w:szCs w:val="24"/>
              </w:rPr>
            </w:pPr>
            <w:r w:rsidRPr="00FA22B0">
              <w:rPr>
                <w:bCs/>
                <w:caps w:val="0"/>
                <w:noProof/>
                <w:sz w:val="24"/>
                <w:szCs w:val="24"/>
              </w:rPr>
              <w:t>Pokyny pre ošetrujúceho lekára</w:t>
            </w:r>
            <w:r w:rsidRPr="00FA22B0">
              <w:rPr>
                <w:caps w:val="0"/>
                <w:noProof/>
                <w:sz w:val="24"/>
                <w:szCs w:val="24"/>
              </w:rPr>
              <w:t>:</w:t>
            </w:r>
          </w:p>
        </w:tc>
        <w:tc>
          <w:tcPr>
            <w:tcW w:w="6947" w:type="dxa"/>
          </w:tcPr>
          <w:p w:rsidR="009F3457" w:rsidRPr="00FA22B0" w:rsidRDefault="009F3457" w:rsidP="009F3457">
            <w:pPr>
              <w:pStyle w:val="Obyajntext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Špecifická protilátka nie je dostupná.</w:t>
            </w:r>
            <w:r w:rsidRPr="00FA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B0">
              <w:rPr>
                <w:rFonts w:ascii="Times New Roman" w:hAnsi="Times New Roman" w:cs="Times New Roman"/>
                <w:noProof/>
                <w:sz w:val="24"/>
                <w:szCs w:val="24"/>
              </w:rPr>
              <w:t>Ošetrujte podľa príznakov.</w:t>
            </w:r>
          </w:p>
        </w:tc>
      </w:tr>
    </w:tbl>
    <w:p w:rsidR="009F3457" w:rsidRPr="00E259D7" w:rsidRDefault="009F3457" w:rsidP="009F3457">
      <w:r w:rsidRPr="00E259D7">
        <w:t>V prípade potreby lekár môže liečbu konzultovať s Národným toxikologickým informačným centrom v Bratislave (č. tel. 02/5477 4166).</w:t>
      </w:r>
    </w:p>
    <w:p w:rsidR="009F3457" w:rsidRDefault="009F3457" w:rsidP="009F3457">
      <w:pPr>
        <w:pStyle w:val="Default"/>
        <w:rPr>
          <w:rFonts w:ascii="Times New Roman" w:hAnsi="Times New Roman"/>
          <w:color w:val="auto"/>
          <w:lang w:val="sk-SK"/>
        </w:rPr>
      </w:pPr>
    </w:p>
    <w:p w:rsidR="000B1D1A" w:rsidRPr="000B1D1A" w:rsidRDefault="000B1D1A" w:rsidP="000B1D1A">
      <w:pPr>
        <w:autoSpaceDE w:val="0"/>
        <w:autoSpaceDN w:val="0"/>
        <w:adjustRightInd w:val="0"/>
        <w:rPr>
          <w:rFonts w:eastAsia="SimSun"/>
          <w:caps/>
          <w:lang w:eastAsia="zh-CN"/>
        </w:rPr>
      </w:pPr>
      <w:r w:rsidRPr="000B1D1A">
        <w:rPr>
          <w:rFonts w:eastAsia="SimSun"/>
          <w:b/>
          <w:caps/>
          <w:lang w:eastAsia="zh-CN"/>
        </w:rPr>
        <w:lastRenderedPageBreak/>
        <w:t>V prípade nebezpečenstva volajte:</w:t>
      </w:r>
      <w:r w:rsidRPr="000B1D1A">
        <w:rPr>
          <w:rFonts w:eastAsia="SimSun"/>
          <w:caps/>
          <w:lang w:eastAsia="zh-CN"/>
        </w:rPr>
        <w:t xml:space="preserve"> </w:t>
      </w:r>
    </w:p>
    <w:p w:rsidR="000B1D1A" w:rsidRPr="00272188" w:rsidRDefault="000B1D1A" w:rsidP="000B1D1A">
      <w:pPr>
        <w:autoSpaceDE w:val="0"/>
        <w:autoSpaceDN w:val="0"/>
        <w:adjustRightInd w:val="0"/>
        <w:rPr>
          <w:rFonts w:eastAsia="SimSun"/>
          <w:lang w:eastAsia="zh-CN"/>
        </w:rPr>
      </w:pPr>
      <w:r w:rsidRPr="00272188">
        <w:rPr>
          <w:rFonts w:eastAsia="SimSun"/>
          <w:lang w:eastAsia="zh-CN"/>
        </w:rPr>
        <w:t xml:space="preserve">SGS </w:t>
      </w:r>
      <w:r w:rsidR="00631069">
        <w:rPr>
          <w:rFonts w:eastAsia="SimSun"/>
          <w:lang w:eastAsia="zh-CN"/>
        </w:rPr>
        <w:t xml:space="preserve">Slovenská republika </w:t>
      </w:r>
      <w:r w:rsidRPr="00272188">
        <w:rPr>
          <w:rFonts w:eastAsia="SimSun"/>
          <w:lang w:eastAsia="zh-CN"/>
        </w:rPr>
        <w:t xml:space="preserve">+421 905 585 938, alebo </w:t>
      </w:r>
      <w:proofErr w:type="spellStart"/>
      <w:r w:rsidRPr="00272188">
        <w:rPr>
          <w:rFonts w:eastAsia="SimSun"/>
          <w:lang w:eastAsia="zh-CN"/>
        </w:rPr>
        <w:t>Syngenta</w:t>
      </w:r>
      <w:proofErr w:type="spellEnd"/>
      <w:r w:rsidRPr="00272188">
        <w:rPr>
          <w:rFonts w:eastAsia="SimSun"/>
          <w:lang w:eastAsia="zh-CN"/>
        </w:rPr>
        <w:t xml:space="preserve"> Alarm Centre, </w:t>
      </w:r>
      <w:proofErr w:type="spellStart"/>
      <w:r w:rsidRPr="00272188">
        <w:rPr>
          <w:rFonts w:eastAsia="SimSun"/>
          <w:lang w:eastAsia="zh-CN"/>
        </w:rPr>
        <w:t>Huddersfield</w:t>
      </w:r>
      <w:proofErr w:type="spellEnd"/>
      <w:r w:rsidRPr="00272188">
        <w:rPr>
          <w:rFonts w:eastAsia="SimSun"/>
          <w:lang w:eastAsia="zh-CN"/>
        </w:rPr>
        <w:t xml:space="preserve">, U.K., tel.: +44 1484 538 444, fax: +44 1484 55 4093. </w:t>
      </w:r>
    </w:p>
    <w:p w:rsidR="000B1D1A" w:rsidRPr="00E259D7" w:rsidRDefault="000B1D1A" w:rsidP="009F3457">
      <w:pPr>
        <w:pStyle w:val="Default"/>
        <w:rPr>
          <w:rFonts w:ascii="Times New Roman" w:hAnsi="Times New Roman"/>
          <w:color w:val="auto"/>
          <w:lang w:val="sk-SK"/>
        </w:rPr>
      </w:pPr>
    </w:p>
    <w:p w:rsidR="009F3457" w:rsidRPr="000041A2" w:rsidRDefault="009F3457" w:rsidP="009F3457">
      <w:pPr>
        <w:pStyle w:val="Nadpis2"/>
        <w:rPr>
          <w:caps/>
        </w:rPr>
      </w:pPr>
      <w:r w:rsidRPr="000041A2">
        <w:rPr>
          <w:caps/>
        </w:rPr>
        <w:t>Skladovanie</w:t>
      </w:r>
    </w:p>
    <w:p w:rsidR="00061157" w:rsidRDefault="009F3457" w:rsidP="0026486D">
      <w:pPr>
        <w:jc w:val="both"/>
      </w:pPr>
      <w:r w:rsidRPr="00E259D7">
        <w:t>Prípravok skladujte v uzatvorených originálnych obaloch, v uzamknutých, suchých, hygienicky čistých a dobre vetrateľných skladoch pri teplote 0</w:t>
      </w:r>
      <w:r w:rsidRPr="00E259D7">
        <w:rPr>
          <w:vertAlign w:val="superscript"/>
        </w:rPr>
        <w:t xml:space="preserve"> </w:t>
      </w:r>
      <w:proofErr w:type="spellStart"/>
      <w:r w:rsidRPr="00E259D7">
        <w:rPr>
          <w:vertAlign w:val="superscript"/>
        </w:rPr>
        <w:t>o</w:t>
      </w:r>
      <w:r w:rsidRPr="00E259D7">
        <w:t>C</w:t>
      </w:r>
      <w:proofErr w:type="spellEnd"/>
      <w:r w:rsidRPr="00E259D7">
        <w:t xml:space="preserve"> až +35</w:t>
      </w:r>
      <w:r w:rsidRPr="00E259D7">
        <w:rPr>
          <w:vertAlign w:val="superscript"/>
        </w:rPr>
        <w:t>o</w:t>
      </w:r>
      <w:r w:rsidRPr="00E259D7">
        <w:t xml:space="preserve">C oddelene od potravín, nápojov, krmív, hnojív, dezinfekčných prostriedkov, horľavín a obalov od týchto látok. </w:t>
      </w:r>
    </w:p>
    <w:p w:rsidR="00061157" w:rsidRDefault="00061157" w:rsidP="0026486D">
      <w:pPr>
        <w:jc w:val="both"/>
      </w:pPr>
      <w:r>
        <w:t>Doba skladovateľnosti v originálnych neporušených obaloch z materiálu PET je 2 roky od dátumu výroby.</w:t>
      </w:r>
    </w:p>
    <w:p w:rsidR="00061157" w:rsidRDefault="00061157" w:rsidP="0026486D">
      <w:pPr>
        <w:jc w:val="both"/>
      </w:pPr>
      <w:r>
        <w:t>Doba skladovateľnosti v originálnych neporušených obaloch z materiálu HDPE je 3 roky od dátumu výroby.</w:t>
      </w:r>
    </w:p>
    <w:p w:rsidR="00061157" w:rsidRDefault="00061157" w:rsidP="0026486D">
      <w:pPr>
        <w:jc w:val="both"/>
      </w:pPr>
    </w:p>
    <w:p w:rsidR="009F3457" w:rsidRPr="00E259D7" w:rsidRDefault="009F3457" w:rsidP="0026486D">
      <w:pPr>
        <w:jc w:val="both"/>
      </w:pPr>
      <w:r w:rsidRPr="00E259D7">
        <w:t>Chráňte pred mrazom a priamym slnečným svetlom.</w:t>
      </w:r>
    </w:p>
    <w:p w:rsidR="009F3457" w:rsidRPr="00E259D7" w:rsidRDefault="009F3457" w:rsidP="0026486D">
      <w:pPr>
        <w:pStyle w:val="Default"/>
        <w:jc w:val="both"/>
        <w:rPr>
          <w:rFonts w:ascii="Times New Roman" w:hAnsi="Times New Roman"/>
          <w:color w:val="auto"/>
          <w:lang w:val="sk-SK"/>
        </w:rPr>
      </w:pPr>
    </w:p>
    <w:p w:rsidR="009F3457" w:rsidRPr="00DC204D" w:rsidRDefault="009F3457" w:rsidP="0026486D">
      <w:pPr>
        <w:jc w:val="both"/>
        <w:rPr>
          <w:b/>
          <w:bCs/>
          <w:caps/>
        </w:rPr>
      </w:pPr>
      <w:r w:rsidRPr="00DC204D">
        <w:rPr>
          <w:b/>
          <w:bCs/>
          <w:caps/>
        </w:rPr>
        <w:t>Zneškodnenie zvyškov</w:t>
      </w:r>
    </w:p>
    <w:p w:rsidR="009E5F32" w:rsidRPr="00DC204D" w:rsidRDefault="009E5F32" w:rsidP="0026486D">
      <w:pPr>
        <w:pStyle w:val="Nadpis2"/>
        <w:jc w:val="both"/>
        <w:rPr>
          <w:b w:val="0"/>
          <w:i/>
        </w:rPr>
      </w:pPr>
      <w:r w:rsidRPr="00DC204D">
        <w:rPr>
          <w:b w:val="0"/>
        </w:rPr>
        <w:t>Nepoužité zvyšky prípravku (v pôvodnom obale) zneškodnite ako nebezpečný odpad.</w:t>
      </w:r>
    </w:p>
    <w:p w:rsidR="009E5F32" w:rsidRPr="00325B0C" w:rsidRDefault="009E5F32" w:rsidP="0026486D">
      <w:pPr>
        <w:jc w:val="both"/>
        <w:rPr>
          <w:lang w:eastAsia="en-US"/>
        </w:rPr>
      </w:pPr>
      <w:r>
        <w:rPr>
          <w:lang w:eastAsia="en-US"/>
        </w:rPr>
        <w:t xml:space="preserve">Technologický zvyšok postrekovej kvapaliny po zriedení vystriekajte na neošetrenej ploche, nesmú však zasiahnuť zdroje podzemných ani recipienty povrchových vôd alebo zneškodnite ako nebezpečný odpad. </w:t>
      </w:r>
      <w:r w:rsidRPr="00325B0C">
        <w:rPr>
          <w:lang w:eastAsia="en-US"/>
        </w:rPr>
        <w:t xml:space="preserve">Nepoužité zvyšky postrekovej kvapaliny </w:t>
      </w:r>
      <w:r>
        <w:rPr>
          <w:lang w:eastAsia="en-US"/>
        </w:rPr>
        <w:t xml:space="preserve">v objeme väčšom ako technologický zvyšok (uvedené v technických parametroch mechanizačného prostriedku) </w:t>
      </w:r>
      <w:r w:rsidRPr="00325B0C">
        <w:rPr>
          <w:lang w:eastAsia="en-US"/>
        </w:rPr>
        <w:t>zneškodnite ako nebezpečný odpad</w:t>
      </w:r>
      <w:r>
        <w:rPr>
          <w:lang w:eastAsia="en-US"/>
        </w:rPr>
        <w:t xml:space="preserve"> v súlade s platnou legislatívou o odpadoch</w:t>
      </w:r>
      <w:r w:rsidRPr="00325B0C">
        <w:rPr>
          <w:lang w:eastAsia="en-US"/>
        </w:rPr>
        <w:t>.</w:t>
      </w:r>
    </w:p>
    <w:p w:rsidR="009F3457" w:rsidRPr="00DC204D" w:rsidRDefault="009F3457" w:rsidP="0026486D">
      <w:pPr>
        <w:tabs>
          <w:tab w:val="left" w:pos="1134"/>
          <w:tab w:val="left" w:pos="3261"/>
        </w:tabs>
        <w:jc w:val="both"/>
        <w:rPr>
          <w:b/>
          <w:u w:val="single"/>
        </w:rPr>
      </w:pPr>
    </w:p>
    <w:p w:rsidR="009F3457" w:rsidRPr="00DC204D" w:rsidRDefault="009F3457" w:rsidP="0026486D">
      <w:pPr>
        <w:tabs>
          <w:tab w:val="left" w:pos="1134"/>
          <w:tab w:val="left" w:pos="3261"/>
        </w:tabs>
        <w:jc w:val="both"/>
        <w:rPr>
          <w:b/>
          <w:caps/>
        </w:rPr>
      </w:pPr>
      <w:r w:rsidRPr="00DC204D">
        <w:rPr>
          <w:b/>
          <w:caps/>
        </w:rPr>
        <w:t>Právne normy</w:t>
      </w:r>
    </w:p>
    <w:p w:rsidR="009F3457" w:rsidRPr="00DC204D" w:rsidRDefault="009F3457" w:rsidP="0026486D">
      <w:pPr>
        <w:tabs>
          <w:tab w:val="left" w:pos="1134"/>
          <w:tab w:val="left" w:pos="3261"/>
        </w:tabs>
        <w:jc w:val="both"/>
      </w:pPr>
      <w:r w:rsidRPr="00DC204D">
        <w:t>Pred použitím prípravku si pozorne prečítajte návod na použitie. Užívateľ nesie plnú zodpovednosť za poškodenie, ktoré spôsobí nesprávnym používaním prípravku.</w:t>
      </w:r>
    </w:p>
    <w:p w:rsidR="009F3457" w:rsidRPr="00DC204D" w:rsidRDefault="009F3457" w:rsidP="009F3457">
      <w:pPr>
        <w:jc w:val="both"/>
      </w:pPr>
    </w:p>
    <w:p w:rsidR="009F3457" w:rsidRDefault="009F3457"/>
    <w:sectPr w:rsidR="009F3457" w:rsidSect="001031D5">
      <w:headerReference w:type="default" r:id="rId9"/>
      <w:footerReference w:type="default" r:id="rId10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FC" w:rsidRDefault="008330FC">
      <w:r>
        <w:separator/>
      </w:r>
    </w:p>
  </w:endnote>
  <w:endnote w:type="continuationSeparator" w:id="0">
    <w:p w:rsidR="008330FC" w:rsidRDefault="008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1A" w:rsidRPr="00FD6735" w:rsidRDefault="00DC7ABD">
    <w:pPr>
      <w:pStyle w:val="Pta"/>
      <w:rPr>
        <w:sz w:val="20"/>
        <w:szCs w:val="20"/>
      </w:rPr>
    </w:pPr>
    <w:r>
      <w:rPr>
        <w:sz w:val="20"/>
        <w:szCs w:val="20"/>
      </w:rPr>
      <w:t>ICZ/201</w:t>
    </w:r>
    <w:r w:rsidR="00853EB2">
      <w:rPr>
        <w:sz w:val="20"/>
        <w:szCs w:val="20"/>
      </w:rPr>
      <w:t>8/06681/</w:t>
    </w:r>
    <w:proofErr w:type="spellStart"/>
    <w:r w:rsidR="00853EB2">
      <w:rPr>
        <w:sz w:val="20"/>
        <w:szCs w:val="20"/>
      </w:rPr>
      <w:t>ce</w:t>
    </w:r>
    <w:proofErr w:type="spellEnd"/>
    <w:r w:rsidR="000B1D1A" w:rsidRPr="00FD6735">
      <w:rPr>
        <w:sz w:val="20"/>
        <w:szCs w:val="20"/>
      </w:rPr>
      <w:tab/>
    </w:r>
    <w:r w:rsidR="000B1D1A" w:rsidRPr="00FD6735">
      <w:rPr>
        <w:sz w:val="20"/>
        <w:szCs w:val="20"/>
      </w:rPr>
      <w:tab/>
    </w:r>
    <w:r w:rsidR="000B1D1A" w:rsidRPr="00FD6735">
      <w:rPr>
        <w:rStyle w:val="slostrany"/>
        <w:sz w:val="20"/>
        <w:szCs w:val="20"/>
      </w:rPr>
      <w:fldChar w:fldCharType="begin"/>
    </w:r>
    <w:r w:rsidR="000B1D1A" w:rsidRPr="00FD6735">
      <w:rPr>
        <w:rStyle w:val="slostrany"/>
        <w:sz w:val="20"/>
        <w:szCs w:val="20"/>
      </w:rPr>
      <w:instrText xml:space="preserve"> PAGE </w:instrText>
    </w:r>
    <w:r w:rsidR="000B1D1A" w:rsidRPr="00FD6735">
      <w:rPr>
        <w:rStyle w:val="slostrany"/>
        <w:sz w:val="20"/>
        <w:szCs w:val="20"/>
      </w:rPr>
      <w:fldChar w:fldCharType="separate"/>
    </w:r>
    <w:r w:rsidR="007A7F2F">
      <w:rPr>
        <w:rStyle w:val="slostrany"/>
        <w:noProof/>
        <w:sz w:val="20"/>
        <w:szCs w:val="20"/>
      </w:rPr>
      <w:t>4</w:t>
    </w:r>
    <w:r w:rsidR="000B1D1A" w:rsidRPr="00FD6735">
      <w:rPr>
        <w:rStyle w:val="slostrany"/>
        <w:sz w:val="20"/>
        <w:szCs w:val="20"/>
      </w:rPr>
      <w:fldChar w:fldCharType="end"/>
    </w:r>
    <w:r w:rsidR="000B1D1A" w:rsidRPr="00FD6735">
      <w:rPr>
        <w:rStyle w:val="slostrany"/>
        <w:sz w:val="20"/>
        <w:szCs w:val="20"/>
      </w:rPr>
      <w:t>/</w:t>
    </w:r>
    <w:r w:rsidR="000B1D1A" w:rsidRPr="00FD6735">
      <w:rPr>
        <w:rStyle w:val="slostrany"/>
        <w:sz w:val="20"/>
        <w:szCs w:val="20"/>
      </w:rPr>
      <w:fldChar w:fldCharType="begin"/>
    </w:r>
    <w:r w:rsidR="000B1D1A" w:rsidRPr="00FD6735">
      <w:rPr>
        <w:rStyle w:val="slostrany"/>
        <w:sz w:val="20"/>
        <w:szCs w:val="20"/>
      </w:rPr>
      <w:instrText xml:space="preserve"> NUMPAGES </w:instrText>
    </w:r>
    <w:r w:rsidR="000B1D1A" w:rsidRPr="00FD6735">
      <w:rPr>
        <w:rStyle w:val="slostrany"/>
        <w:sz w:val="20"/>
        <w:szCs w:val="20"/>
      </w:rPr>
      <w:fldChar w:fldCharType="separate"/>
    </w:r>
    <w:r w:rsidR="007A7F2F">
      <w:rPr>
        <w:rStyle w:val="slostrany"/>
        <w:noProof/>
        <w:sz w:val="20"/>
        <w:szCs w:val="20"/>
      </w:rPr>
      <w:t>5</w:t>
    </w:r>
    <w:r w:rsidR="000B1D1A" w:rsidRPr="00FD6735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FC" w:rsidRDefault="008330FC">
      <w:r>
        <w:separator/>
      </w:r>
    </w:p>
  </w:footnote>
  <w:footnote w:type="continuationSeparator" w:id="0">
    <w:p w:rsidR="008330FC" w:rsidRDefault="0083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1A" w:rsidRDefault="000B1D1A" w:rsidP="009F3457">
    <w:pPr>
      <w:pStyle w:val="Hlavika"/>
      <w:jc w:val="right"/>
    </w:pPr>
  </w:p>
  <w:p w:rsidR="000B1D1A" w:rsidRPr="00FD6735" w:rsidRDefault="000B1D1A" w:rsidP="009F3457">
    <w:pPr>
      <w:pStyle w:val="Hlavika"/>
      <w:jc w:val="right"/>
      <w:rPr>
        <w:sz w:val="20"/>
        <w:szCs w:val="20"/>
      </w:rPr>
    </w:pPr>
    <w:r w:rsidRPr="00FD6735">
      <w:rPr>
        <w:sz w:val="20"/>
        <w:szCs w:val="20"/>
      </w:rPr>
      <w:t>Etiketa schválená:</w:t>
    </w:r>
    <w:r w:rsidR="00FD6735">
      <w:rPr>
        <w:sz w:val="20"/>
        <w:szCs w:val="20"/>
      </w:rPr>
      <w:t xml:space="preserve"> </w:t>
    </w:r>
    <w:r w:rsidR="00A71D34">
      <w:rPr>
        <w:sz w:val="20"/>
        <w:szCs w:val="20"/>
      </w:rPr>
      <w:t>09.07</w:t>
    </w:r>
    <w:r w:rsidR="00853EB2">
      <w:rPr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224C"/>
    <w:multiLevelType w:val="hybridMultilevel"/>
    <w:tmpl w:val="B978B61C"/>
    <w:lvl w:ilvl="0" w:tplc="82160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7"/>
    <w:rsid w:val="00024E13"/>
    <w:rsid w:val="00033D02"/>
    <w:rsid w:val="00061157"/>
    <w:rsid w:val="00064F55"/>
    <w:rsid w:val="00074088"/>
    <w:rsid w:val="00080790"/>
    <w:rsid w:val="000B1D1A"/>
    <w:rsid w:val="000B4203"/>
    <w:rsid w:val="000B75FA"/>
    <w:rsid w:val="000C2B6D"/>
    <w:rsid w:val="000C3CD0"/>
    <w:rsid w:val="001031D5"/>
    <w:rsid w:val="00126F52"/>
    <w:rsid w:val="001A761C"/>
    <w:rsid w:val="001D778D"/>
    <w:rsid w:val="001E0A00"/>
    <w:rsid w:val="002307AE"/>
    <w:rsid w:val="002411EF"/>
    <w:rsid w:val="0026486D"/>
    <w:rsid w:val="00270A73"/>
    <w:rsid w:val="00292ADF"/>
    <w:rsid w:val="0029695F"/>
    <w:rsid w:val="002B55DB"/>
    <w:rsid w:val="002F1699"/>
    <w:rsid w:val="002F36D2"/>
    <w:rsid w:val="00340F6C"/>
    <w:rsid w:val="00341C96"/>
    <w:rsid w:val="003533EC"/>
    <w:rsid w:val="003539F3"/>
    <w:rsid w:val="0035559C"/>
    <w:rsid w:val="003642DC"/>
    <w:rsid w:val="0037515A"/>
    <w:rsid w:val="00395A80"/>
    <w:rsid w:val="003E1B49"/>
    <w:rsid w:val="003E61C5"/>
    <w:rsid w:val="00435D0F"/>
    <w:rsid w:val="00435F91"/>
    <w:rsid w:val="004457F7"/>
    <w:rsid w:val="00467136"/>
    <w:rsid w:val="00473313"/>
    <w:rsid w:val="004777BD"/>
    <w:rsid w:val="00495BCE"/>
    <w:rsid w:val="00496A83"/>
    <w:rsid w:val="004D0286"/>
    <w:rsid w:val="005062C1"/>
    <w:rsid w:val="00510B15"/>
    <w:rsid w:val="005210ED"/>
    <w:rsid w:val="005626EF"/>
    <w:rsid w:val="00564631"/>
    <w:rsid w:val="005A120D"/>
    <w:rsid w:val="005B0265"/>
    <w:rsid w:val="005B026C"/>
    <w:rsid w:val="005F01F0"/>
    <w:rsid w:val="00601A7C"/>
    <w:rsid w:val="006037A7"/>
    <w:rsid w:val="00616F79"/>
    <w:rsid w:val="00631069"/>
    <w:rsid w:val="00635C5F"/>
    <w:rsid w:val="006B5A0B"/>
    <w:rsid w:val="00700FC1"/>
    <w:rsid w:val="00754D47"/>
    <w:rsid w:val="00764739"/>
    <w:rsid w:val="007A0706"/>
    <w:rsid w:val="007A2C36"/>
    <w:rsid w:val="007A7F2F"/>
    <w:rsid w:val="007F7D30"/>
    <w:rsid w:val="0080565D"/>
    <w:rsid w:val="008330FC"/>
    <w:rsid w:val="008375FC"/>
    <w:rsid w:val="00841B92"/>
    <w:rsid w:val="00853EB2"/>
    <w:rsid w:val="00871CB0"/>
    <w:rsid w:val="008A79DD"/>
    <w:rsid w:val="008C44A0"/>
    <w:rsid w:val="008E0208"/>
    <w:rsid w:val="008F0637"/>
    <w:rsid w:val="008F444C"/>
    <w:rsid w:val="008F6EF8"/>
    <w:rsid w:val="0090270E"/>
    <w:rsid w:val="009325E0"/>
    <w:rsid w:val="00935992"/>
    <w:rsid w:val="00967BE4"/>
    <w:rsid w:val="0097396C"/>
    <w:rsid w:val="00991E8F"/>
    <w:rsid w:val="00995AEF"/>
    <w:rsid w:val="009D343D"/>
    <w:rsid w:val="009E0617"/>
    <w:rsid w:val="009E434E"/>
    <w:rsid w:val="009E5F32"/>
    <w:rsid w:val="009F3457"/>
    <w:rsid w:val="00A11F45"/>
    <w:rsid w:val="00A12FA7"/>
    <w:rsid w:val="00A3538B"/>
    <w:rsid w:val="00A71D34"/>
    <w:rsid w:val="00AB2991"/>
    <w:rsid w:val="00AE5416"/>
    <w:rsid w:val="00AF18BA"/>
    <w:rsid w:val="00B11308"/>
    <w:rsid w:val="00B22280"/>
    <w:rsid w:val="00BE7340"/>
    <w:rsid w:val="00C00DBC"/>
    <w:rsid w:val="00C21E32"/>
    <w:rsid w:val="00C23B74"/>
    <w:rsid w:val="00C51294"/>
    <w:rsid w:val="00C71033"/>
    <w:rsid w:val="00C73429"/>
    <w:rsid w:val="00C74DB6"/>
    <w:rsid w:val="00C851F0"/>
    <w:rsid w:val="00CA00CA"/>
    <w:rsid w:val="00CD2CF5"/>
    <w:rsid w:val="00D329CF"/>
    <w:rsid w:val="00D44A57"/>
    <w:rsid w:val="00D47D31"/>
    <w:rsid w:val="00D54A4D"/>
    <w:rsid w:val="00D56BD2"/>
    <w:rsid w:val="00D62F5A"/>
    <w:rsid w:val="00D65E2C"/>
    <w:rsid w:val="00D65FA2"/>
    <w:rsid w:val="00D756F1"/>
    <w:rsid w:val="00D84F31"/>
    <w:rsid w:val="00D86333"/>
    <w:rsid w:val="00DC7ABD"/>
    <w:rsid w:val="00DD6F16"/>
    <w:rsid w:val="00DF7C71"/>
    <w:rsid w:val="00E07F98"/>
    <w:rsid w:val="00E250BF"/>
    <w:rsid w:val="00E911E0"/>
    <w:rsid w:val="00EB656D"/>
    <w:rsid w:val="00EC1793"/>
    <w:rsid w:val="00ED3474"/>
    <w:rsid w:val="00F055AF"/>
    <w:rsid w:val="00F07C82"/>
    <w:rsid w:val="00F20C16"/>
    <w:rsid w:val="00F41510"/>
    <w:rsid w:val="00F4445E"/>
    <w:rsid w:val="00F83BE6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B4B-0ABC-448B-8527-C389375A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457"/>
    <w:rPr>
      <w:sz w:val="24"/>
      <w:szCs w:val="24"/>
      <w:lang w:val="sk-SK" w:eastAsia="cs-CZ"/>
    </w:rPr>
  </w:style>
  <w:style w:type="paragraph" w:styleId="Nadpis2">
    <w:name w:val="heading 2"/>
    <w:basedOn w:val="Normlny"/>
    <w:next w:val="Normlny"/>
    <w:qFormat/>
    <w:rsid w:val="009F3457"/>
    <w:pPr>
      <w:keepNext/>
      <w:tabs>
        <w:tab w:val="left" w:pos="360"/>
      </w:tabs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F3457"/>
    <w:rPr>
      <w:b/>
      <w:bCs/>
      <w:sz w:val="52"/>
    </w:rPr>
  </w:style>
  <w:style w:type="paragraph" w:styleId="Zkladntext2">
    <w:name w:val="Body Text 2"/>
    <w:basedOn w:val="Normlny"/>
    <w:rsid w:val="009F3457"/>
    <w:pPr>
      <w:tabs>
        <w:tab w:val="left" w:pos="360"/>
        <w:tab w:val="left" w:pos="1080"/>
        <w:tab w:val="num" w:pos="2160"/>
      </w:tabs>
      <w:jc w:val="both"/>
    </w:pPr>
    <w:rPr>
      <w:i/>
      <w:iCs/>
    </w:rPr>
  </w:style>
  <w:style w:type="paragraph" w:styleId="Zarkazkladnhotextu">
    <w:name w:val="Body Text Indent"/>
    <w:basedOn w:val="Normlny"/>
    <w:rsid w:val="009F3457"/>
    <w:pPr>
      <w:tabs>
        <w:tab w:val="left" w:pos="-2700"/>
        <w:tab w:val="left" w:pos="360"/>
      </w:tabs>
      <w:ind w:left="180" w:hanging="180"/>
      <w:jc w:val="both"/>
    </w:pPr>
  </w:style>
  <w:style w:type="paragraph" w:customStyle="1" w:styleId="odrazka">
    <w:name w:val="odrazka"/>
    <w:basedOn w:val="Normlny"/>
    <w:rsid w:val="009F3457"/>
    <w:pPr>
      <w:ind w:left="1004" w:hanging="284"/>
      <w:jc w:val="both"/>
    </w:pPr>
    <w:rPr>
      <w:szCs w:val="20"/>
      <w:lang w:val="cs-CZ" w:eastAsia="en-US"/>
    </w:rPr>
  </w:style>
  <w:style w:type="paragraph" w:customStyle="1" w:styleId="hustynormal">
    <w:name w:val="husty normal"/>
    <w:basedOn w:val="Normlny"/>
    <w:rsid w:val="009F3457"/>
    <w:pPr>
      <w:spacing w:before="120" w:after="120"/>
      <w:jc w:val="both"/>
    </w:pPr>
    <w:rPr>
      <w:szCs w:val="20"/>
      <w:lang w:val="cs-CZ" w:eastAsia="en-US"/>
    </w:rPr>
  </w:style>
  <w:style w:type="paragraph" w:customStyle="1" w:styleId="slovanbody">
    <w:name w:val="číslované body"/>
    <w:basedOn w:val="Normlny"/>
    <w:rsid w:val="009F3457"/>
    <w:pPr>
      <w:spacing w:before="120"/>
    </w:pPr>
    <w:rPr>
      <w:sz w:val="20"/>
      <w:szCs w:val="20"/>
      <w:lang w:val="cs-CZ" w:eastAsia="en-US"/>
    </w:rPr>
  </w:style>
  <w:style w:type="paragraph" w:customStyle="1" w:styleId="Default">
    <w:name w:val="Default"/>
    <w:rsid w:val="009F3457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9F3457"/>
    <w:pPr>
      <w:spacing w:after="60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9F3457"/>
    <w:pPr>
      <w:spacing w:after="180"/>
    </w:pPr>
    <w:rPr>
      <w:color w:val="auto"/>
      <w:sz w:val="20"/>
    </w:rPr>
  </w:style>
  <w:style w:type="paragraph" w:styleId="Obyajntext">
    <w:name w:val="Plain Text"/>
    <w:basedOn w:val="Normlny"/>
    <w:rsid w:val="009F3457"/>
    <w:pPr>
      <w:spacing w:after="120"/>
      <w:jc w:val="both"/>
    </w:pPr>
    <w:rPr>
      <w:rFonts w:ascii="Courier New" w:hAnsi="Courier New" w:cs="Courier New"/>
      <w:snapToGrid w:val="0"/>
      <w:sz w:val="20"/>
      <w:szCs w:val="20"/>
      <w:lang w:eastAsia="sk-SK"/>
    </w:rPr>
  </w:style>
  <w:style w:type="paragraph" w:customStyle="1" w:styleId="MSDSpolozky">
    <w:name w:val="MSDS_polozky"/>
    <w:basedOn w:val="Obyajntext"/>
    <w:rsid w:val="009F3457"/>
    <w:pPr>
      <w:spacing w:before="360"/>
    </w:pPr>
    <w:rPr>
      <w:rFonts w:ascii="Times New Roman" w:hAnsi="Times New Roman" w:cs="Times New Roman"/>
      <w:b/>
      <w:caps/>
      <w:sz w:val="22"/>
      <w:szCs w:val="22"/>
    </w:rPr>
  </w:style>
  <w:style w:type="paragraph" w:styleId="Hlavika">
    <w:name w:val="header"/>
    <w:basedOn w:val="Normlny"/>
    <w:rsid w:val="009F34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F34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3457"/>
  </w:style>
  <w:style w:type="paragraph" w:styleId="Textbubliny">
    <w:name w:val="Balloon Text"/>
    <w:basedOn w:val="Normlny"/>
    <w:semiHidden/>
    <w:rsid w:val="00292A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4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2411E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411EF"/>
    <w:rPr>
      <w:sz w:val="20"/>
      <w:szCs w:val="20"/>
    </w:rPr>
  </w:style>
  <w:style w:type="character" w:customStyle="1" w:styleId="TextkomentraChar">
    <w:name w:val="Text komentára Char"/>
    <w:link w:val="Textkomentra"/>
    <w:rsid w:val="002411EF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2411EF"/>
    <w:rPr>
      <w:b/>
      <w:bCs/>
    </w:rPr>
  </w:style>
  <w:style w:type="character" w:customStyle="1" w:styleId="PredmetkomentraChar">
    <w:name w:val="Predmet komentára Char"/>
    <w:link w:val="Predmetkomentra"/>
    <w:rsid w:val="002411EF"/>
    <w:rPr>
      <w:b/>
      <w:bCs/>
      <w:lang w:eastAsia="cs-CZ"/>
    </w:rPr>
  </w:style>
  <w:style w:type="paragraph" w:styleId="Revzia">
    <w:name w:val="Revision"/>
    <w:hidden/>
    <w:uiPriority w:val="99"/>
    <w:semiHidden/>
    <w:rsid w:val="001D778D"/>
    <w:rPr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Prípravok na ochranu rastlín</vt:lpstr>
      <vt:lpstr>Prípravok na ochranu rastlín</vt:lpstr>
    </vt:vector>
  </TitlesOfParts>
  <Company>Syngenta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Prípravok na ochranu rastlín</dc:title>
  <dc:subject/>
  <dc:creator>Ing. Zuzana Vargová</dc:creator>
  <cp:keywords/>
  <cp:lastModifiedBy>Krempaská Klára MVDr.</cp:lastModifiedBy>
  <cp:revision>11</cp:revision>
  <cp:lastPrinted>2013-05-29T11:30:00Z</cp:lastPrinted>
  <dcterms:created xsi:type="dcterms:W3CDTF">2018-03-08T15:06:00Z</dcterms:created>
  <dcterms:modified xsi:type="dcterms:W3CDTF">2019-11-15T10:14:00Z</dcterms:modified>
</cp:coreProperties>
</file>