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sz w:val="24"/>
          <w:szCs w:val="24"/>
        </w:rPr>
      </w:pPr>
      <w:r>
        <w:rPr>
          <w:sz w:val="24"/>
          <w:szCs w:val="24"/>
        </w:rPr>
        <w:t>Prípravok na ochranu rastlín pre profesionálnych používateľov</w:t>
      </w:r>
    </w:p>
    <w:p>
      <w:pPr>
        <w:pStyle w:val="Normal"/>
        <w:tabs>
          <w:tab w:val="center" w:pos="4890" w:leader="none"/>
          <w:tab w:val="left" w:pos="6000" w:leader="none"/>
        </w:tabs>
        <w:rPr>
          <w:b/>
          <w:b/>
          <w:sz w:val="40"/>
          <w:szCs w:val="40"/>
        </w:rPr>
      </w:pPr>
      <w:r>
        <w:rPr>
          <w:b/>
          <w:sz w:val="24"/>
          <w:szCs w:val="24"/>
        </w:rPr>
        <w:tab/>
      </w:r>
      <w:r>
        <w:rPr>
          <w:b/>
          <w:sz w:val="40"/>
          <w:szCs w:val="40"/>
        </w:rPr>
        <w:t>FIXATOR</w:t>
        <w:tab/>
      </w:r>
    </w:p>
    <w:p>
      <w:pPr>
        <w:pStyle w:val="Normal"/>
        <w:jc w:val="both"/>
        <w:rPr>
          <w:sz w:val="24"/>
          <w:szCs w:val="24"/>
        </w:rPr>
      </w:pPr>
      <w:r>
        <w:rPr>
          <w:sz w:val="24"/>
          <w:szCs w:val="24"/>
        </w:rPr>
      </w:r>
    </w:p>
    <w:p>
      <w:pPr>
        <w:pStyle w:val="Normal"/>
        <w:jc w:val="both"/>
        <w:rPr>
          <w:sz w:val="24"/>
          <w:szCs w:val="24"/>
        </w:rPr>
      </w:pPr>
      <w:r>
        <w:rPr>
          <w:sz w:val="24"/>
          <w:szCs w:val="24"/>
        </w:rPr>
        <w:t>Regulátor rastu vo forme emulzného koncentrátu určeného na skrátenie stebla a na zvýšenie odolnosti proti poliehaniu pšenice ozimnej, jačmeňa jarného, jačmeňa ozimného, ovsa, raže a tritikale.</w:t>
      </w:r>
    </w:p>
    <w:p>
      <w:pPr>
        <w:pStyle w:val="NormalIndent"/>
        <w:ind w:left="0" w:hanging="0"/>
        <w:rPr>
          <w:b/>
          <w:b/>
          <w:sz w:val="24"/>
          <w:szCs w:val="24"/>
          <w:lang w:val="sk-SK"/>
        </w:rPr>
      </w:pPr>
      <w:r>
        <w:rPr>
          <w:b/>
          <w:sz w:val="24"/>
          <w:szCs w:val="24"/>
          <w:lang w:val="sk-SK"/>
        </w:rPr>
      </w:r>
    </w:p>
    <w:p>
      <w:pPr>
        <w:pStyle w:val="Normal"/>
        <w:jc w:val="both"/>
        <w:rPr>
          <w:b/>
          <w:b/>
          <w:sz w:val="24"/>
          <w:szCs w:val="24"/>
        </w:rPr>
      </w:pPr>
      <w:r>
        <w:rPr>
          <w:b/>
          <w:sz w:val="24"/>
          <w:szCs w:val="24"/>
        </w:rPr>
        <w:t>Účinná látka:</w:t>
      </w:r>
    </w:p>
    <w:tbl>
      <w:tblPr>
        <w:tblW w:w="9838" w:type="dxa"/>
        <w:jc w:val="left"/>
        <w:tblInd w:w="0" w:type="dxa"/>
        <w:tblBorders/>
        <w:tblCellMar>
          <w:top w:w="0" w:type="dxa"/>
          <w:left w:w="57" w:type="dxa"/>
          <w:bottom w:w="0" w:type="dxa"/>
          <w:right w:w="57" w:type="dxa"/>
        </w:tblCellMar>
        <w:tblLook w:firstRow="1" w:noVBand="0" w:lastRow="1" w:firstColumn="1" w:lastColumn="1" w:noHBand="0" w:val="01e0"/>
      </w:tblPr>
      <w:tblGrid>
        <w:gridCol w:w="2324"/>
        <w:gridCol w:w="2269"/>
        <w:gridCol w:w="5245"/>
      </w:tblGrid>
      <w:tr>
        <w:trPr/>
        <w:tc>
          <w:tcPr>
            <w:tcW w:w="2324" w:type="dxa"/>
            <w:tcBorders/>
            <w:shd w:fill="auto" w:val="clear"/>
          </w:tcPr>
          <w:p>
            <w:pPr>
              <w:pStyle w:val="Normal"/>
              <w:ind w:right="113" w:hanging="0"/>
              <w:rPr>
                <w:sz w:val="24"/>
                <w:szCs w:val="24"/>
              </w:rPr>
            </w:pPr>
            <w:r>
              <w:rPr>
                <w:b/>
                <w:sz w:val="24"/>
                <w:szCs w:val="24"/>
              </w:rPr>
              <w:t>trinexapac-ethyl,</w:t>
            </w:r>
          </w:p>
        </w:tc>
        <w:tc>
          <w:tcPr>
            <w:tcW w:w="2269" w:type="dxa"/>
            <w:tcBorders/>
            <w:shd w:fill="auto" w:val="clear"/>
          </w:tcPr>
          <w:p>
            <w:pPr>
              <w:pStyle w:val="Normal"/>
              <w:ind w:right="113" w:hanging="0"/>
              <w:rPr>
                <w:sz w:val="24"/>
                <w:szCs w:val="24"/>
              </w:rPr>
            </w:pPr>
            <w:r>
              <w:rPr>
                <w:sz w:val="24"/>
                <w:szCs w:val="24"/>
              </w:rPr>
              <w:t>250 g/l; 25,3 % w/w</w:t>
            </w:r>
          </w:p>
        </w:tc>
        <w:tc>
          <w:tcPr>
            <w:tcW w:w="5245" w:type="dxa"/>
            <w:tcBorders/>
            <w:shd w:fill="auto" w:val="clear"/>
          </w:tcPr>
          <w:p>
            <w:pPr>
              <w:pStyle w:val="Hlavika"/>
              <w:jc w:val="both"/>
              <w:rPr>
                <w:sz w:val="24"/>
                <w:szCs w:val="24"/>
              </w:rPr>
            </w:pPr>
            <w:r>
              <w:rPr>
                <w:sz w:val="24"/>
                <w:szCs w:val="24"/>
              </w:rPr>
            </w:r>
          </w:p>
        </w:tc>
      </w:tr>
    </w:tbl>
    <w:p>
      <w:pPr>
        <w:pStyle w:val="NormalIndent"/>
        <w:ind w:left="0" w:hanging="0"/>
        <w:rPr>
          <w:sz w:val="24"/>
          <w:szCs w:val="24"/>
          <w:lang w:val="sk-SK"/>
        </w:rPr>
      </w:pPr>
      <w:r>
        <w:rPr>
          <w:sz w:val="24"/>
          <w:szCs w:val="24"/>
          <w:lang w:val="sk-SK"/>
        </w:rPr>
      </w:r>
    </w:p>
    <w:p>
      <w:pPr>
        <w:pStyle w:val="NormalIndent"/>
        <w:ind w:left="0" w:hanging="0"/>
        <w:jc w:val="both"/>
        <w:rPr>
          <w:b/>
          <w:b/>
          <w:sz w:val="24"/>
          <w:szCs w:val="24"/>
          <w:lang w:val="sk-SK"/>
        </w:rPr>
      </w:pPr>
      <w:r>
        <w:rPr>
          <w:b/>
          <w:sz w:val="24"/>
          <w:szCs w:val="24"/>
          <w:lang w:val="sk-SK"/>
        </w:rPr>
        <w:t>Látky nebezpečné pre zdravie, ktoré prispievajú ku klasifikácii prípravku</w:t>
      </w:r>
      <w:r>
        <w:rPr>
          <w:b/>
          <w:sz w:val="24"/>
          <w:szCs w:val="24"/>
          <w:lang w:val="sk-SK"/>
        </w:rPr>
        <w:t>:</w:t>
      </w:r>
    </w:p>
    <w:p>
      <w:pPr>
        <w:pStyle w:val="Default"/>
        <w:jc w:val="both"/>
        <w:rPr/>
      </w:pPr>
      <w:r>
        <w:rPr>
          <w:bCs/>
        </w:rPr>
        <w:t xml:space="preserve">Kalciumdodecylbenzolsulfonát, CAS: </w:t>
      </w:r>
      <w:r>
        <w:rPr/>
        <w:t xml:space="preserve">26264-06-2; </w:t>
      </w:r>
      <w:r>
        <w:rPr>
          <w:bCs/>
        </w:rPr>
        <w:t xml:space="preserve">Bután-1-ol,  CAS: </w:t>
      </w:r>
      <w:r>
        <w:rPr/>
        <w:t xml:space="preserve">71-36-3 </w:t>
      </w:r>
    </w:p>
    <w:p>
      <w:pPr>
        <w:pStyle w:val="NormalIndent"/>
        <w:ind w:left="0" w:hanging="0"/>
        <w:rPr>
          <w:sz w:val="24"/>
          <w:szCs w:val="24"/>
          <w:lang w:val="sk-SK"/>
        </w:rPr>
      </w:pPr>
      <w:r>
        <w:rPr>
          <w:sz w:val="24"/>
          <w:szCs w:val="24"/>
          <w:lang w:val="sk-SK"/>
        </w:rPr>
      </w:r>
    </w:p>
    <w:p>
      <w:pPr>
        <w:pStyle w:val="Normal"/>
        <w:jc w:val="both"/>
        <w:rPr>
          <w:b/>
          <w:b/>
          <w:sz w:val="24"/>
          <w:szCs w:val="24"/>
        </w:rPr>
      </w:pPr>
      <w:r>
        <w:rPr>
          <w:b/>
          <w:sz w:val="24"/>
          <w:szCs w:val="24"/>
        </w:rPr>
        <w:t>Označenie prípravku:</w:t>
      </w:r>
    </w:p>
    <w:tbl>
      <w:tblPr>
        <w:tblW w:w="4272" w:type="dxa"/>
        <w:jc w:val="left"/>
        <w:tblInd w:w="-34" w:type="dxa"/>
        <w:tblBorders/>
        <w:tblCellMar>
          <w:top w:w="0" w:type="dxa"/>
          <w:left w:w="108" w:type="dxa"/>
          <w:bottom w:w="0" w:type="dxa"/>
          <w:right w:w="108" w:type="dxa"/>
        </w:tblCellMar>
        <w:tblLook w:firstRow="1" w:noVBand="0" w:lastRow="0" w:firstColumn="1" w:lastColumn="0" w:noHBand="0" w:val="00a0"/>
      </w:tblPr>
      <w:tblGrid>
        <w:gridCol w:w="1560"/>
        <w:gridCol w:w="1356"/>
        <w:gridCol w:w="1356"/>
      </w:tblGrid>
      <w:tr>
        <w:trPr/>
        <w:tc>
          <w:tcPr>
            <w:tcW w:w="1560" w:type="dxa"/>
            <w:tcBorders/>
            <w:shd w:fill="auto" w:val="clear"/>
          </w:tcPr>
          <w:p>
            <w:pPr>
              <w:pStyle w:val="Normal"/>
              <w:tabs>
                <w:tab w:val="left" w:pos="1008" w:leader="none"/>
              </w:tabs>
              <w:spacing w:before="40" w:after="40"/>
              <w:jc w:val="center"/>
              <w:rPr>
                <w:sz w:val="24"/>
                <w:szCs w:val="24"/>
              </w:rPr>
            </w:pPr>
            <w:r>
              <w:rPr/>
              <w:drawing>
                <wp:inline distT="0" distB="0" distL="0" distR="0">
                  <wp:extent cx="685800" cy="685800"/>
                  <wp:effectExtent l="0" t="0" r="0" b="0"/>
                  <wp:docPr id="1"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descr=""/>
                          <pic:cNvPicPr>
                            <a:picLocks noChangeAspect="1" noChangeArrowheads="1"/>
                          </pic:cNvPicPr>
                        </pic:nvPicPr>
                        <pic:blipFill>
                          <a:blip r:embed="rId2"/>
                          <a:stretch>
                            <a:fillRect/>
                          </a:stretch>
                        </pic:blipFill>
                        <pic:spPr bwMode="auto">
                          <a:xfrm>
                            <a:off x="0" y="0"/>
                            <a:ext cx="685800" cy="685800"/>
                          </a:xfrm>
                          <a:prstGeom prst="rect">
                            <a:avLst/>
                          </a:prstGeom>
                        </pic:spPr>
                      </pic:pic>
                    </a:graphicData>
                  </a:graphic>
                </wp:inline>
              </w:drawing>
            </w:r>
          </w:p>
        </w:tc>
        <w:tc>
          <w:tcPr>
            <w:tcW w:w="1356" w:type="dxa"/>
            <w:tcBorders/>
            <w:shd w:fill="auto" w:val="clear"/>
          </w:tcPr>
          <w:p>
            <w:pPr>
              <w:pStyle w:val="Normal"/>
              <w:tabs>
                <w:tab w:val="left" w:pos="1008" w:leader="none"/>
              </w:tabs>
              <w:spacing w:before="40" w:after="40"/>
              <w:jc w:val="center"/>
              <w:rPr>
                <w:sz w:val="24"/>
                <w:szCs w:val="24"/>
              </w:rPr>
            </w:pPr>
            <w:r>
              <w:rPr/>
              <w:drawing>
                <wp:inline distT="0" distB="0" distL="0" distR="0">
                  <wp:extent cx="685800" cy="685800"/>
                  <wp:effectExtent l="0" t="0" r="0" b="0"/>
                  <wp:docPr id="2" name="Obrázo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
                          <pic:cNvPicPr>
                            <a:picLocks noChangeAspect="1" noChangeArrowheads="1"/>
                          </pic:cNvPicPr>
                        </pic:nvPicPr>
                        <pic:blipFill>
                          <a:blip r:embed="rId3"/>
                          <a:stretch>
                            <a:fillRect/>
                          </a:stretch>
                        </pic:blipFill>
                        <pic:spPr bwMode="auto">
                          <a:xfrm>
                            <a:off x="0" y="0"/>
                            <a:ext cx="685800" cy="685800"/>
                          </a:xfrm>
                          <a:prstGeom prst="rect">
                            <a:avLst/>
                          </a:prstGeom>
                        </pic:spPr>
                      </pic:pic>
                    </a:graphicData>
                  </a:graphic>
                </wp:inline>
              </w:drawing>
            </w:r>
          </w:p>
        </w:tc>
        <w:tc>
          <w:tcPr>
            <w:tcW w:w="1356" w:type="dxa"/>
            <w:tcBorders/>
            <w:shd w:fill="auto" w:val="clear"/>
          </w:tcPr>
          <w:p>
            <w:pPr>
              <w:pStyle w:val="Normal"/>
              <w:tabs>
                <w:tab w:val="left" w:pos="1008" w:leader="none"/>
              </w:tabs>
              <w:spacing w:before="40" w:after="40"/>
              <w:jc w:val="center"/>
              <w:rPr>
                <w:sz w:val="24"/>
                <w:szCs w:val="24"/>
              </w:rPr>
            </w:pPr>
            <w:r>
              <w:rPr/>
              <w:drawing>
                <wp:inline distT="0" distB="0" distL="0" distR="0">
                  <wp:extent cx="685800" cy="685800"/>
                  <wp:effectExtent l="0" t="0" r="0" b="0"/>
                  <wp:docPr id="3"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1" descr=""/>
                          <pic:cNvPicPr>
                            <a:picLocks noChangeAspect="1" noChangeArrowheads="1"/>
                          </pic:cNvPicPr>
                        </pic:nvPicPr>
                        <pic:blipFill>
                          <a:blip r:embed="rId4"/>
                          <a:stretch>
                            <a:fillRect/>
                          </a:stretch>
                        </pic:blipFill>
                        <pic:spPr bwMode="auto">
                          <a:xfrm>
                            <a:off x="0" y="0"/>
                            <a:ext cx="685800" cy="685800"/>
                          </a:xfrm>
                          <a:prstGeom prst="rect">
                            <a:avLst/>
                          </a:prstGeom>
                        </pic:spPr>
                      </pic:pic>
                    </a:graphicData>
                  </a:graphic>
                </wp:inline>
              </w:drawing>
            </w:r>
          </w:p>
        </w:tc>
      </w:tr>
      <w:tr>
        <w:trPr/>
        <w:tc>
          <w:tcPr>
            <w:tcW w:w="1560" w:type="dxa"/>
            <w:tcBorders/>
            <w:shd w:fill="auto" w:val="clear"/>
          </w:tcPr>
          <w:p>
            <w:pPr>
              <w:pStyle w:val="Normal"/>
              <w:tabs>
                <w:tab w:val="left" w:pos="1008" w:leader="none"/>
              </w:tabs>
              <w:spacing w:before="40" w:after="40"/>
              <w:jc w:val="center"/>
              <w:rPr>
                <w:sz w:val="24"/>
                <w:szCs w:val="24"/>
              </w:rPr>
            </w:pPr>
            <w:r>
              <w:rPr>
                <w:sz w:val="24"/>
                <w:szCs w:val="24"/>
              </w:rPr>
              <w:t>GHS05</w:t>
            </w:r>
          </w:p>
        </w:tc>
        <w:tc>
          <w:tcPr>
            <w:tcW w:w="1356" w:type="dxa"/>
            <w:tcBorders/>
            <w:shd w:fill="auto" w:val="clear"/>
          </w:tcPr>
          <w:p>
            <w:pPr>
              <w:pStyle w:val="Normal"/>
              <w:tabs>
                <w:tab w:val="left" w:pos="1008" w:leader="none"/>
              </w:tabs>
              <w:spacing w:before="40" w:after="40"/>
              <w:jc w:val="center"/>
              <w:rPr>
                <w:sz w:val="24"/>
                <w:szCs w:val="24"/>
              </w:rPr>
            </w:pPr>
            <w:r>
              <w:rPr>
                <w:sz w:val="24"/>
                <w:szCs w:val="24"/>
              </w:rPr>
              <w:t>GHS07</w:t>
            </w:r>
          </w:p>
        </w:tc>
        <w:tc>
          <w:tcPr>
            <w:tcW w:w="1356" w:type="dxa"/>
            <w:tcBorders/>
            <w:shd w:fill="auto" w:val="clear"/>
          </w:tcPr>
          <w:p>
            <w:pPr>
              <w:pStyle w:val="Normal"/>
              <w:tabs>
                <w:tab w:val="left" w:pos="1008" w:leader="none"/>
              </w:tabs>
              <w:spacing w:before="40" w:after="40"/>
              <w:jc w:val="center"/>
              <w:rPr>
                <w:sz w:val="24"/>
                <w:szCs w:val="24"/>
              </w:rPr>
            </w:pPr>
            <w:r>
              <w:rPr>
                <w:sz w:val="24"/>
                <w:szCs w:val="24"/>
              </w:rPr>
              <w:t>GHS09</w:t>
            </w:r>
          </w:p>
        </w:tc>
      </w:tr>
    </w:tbl>
    <w:p>
      <w:pPr>
        <w:pStyle w:val="Normal"/>
        <w:ind w:right="-1" w:hanging="0"/>
        <w:jc w:val="both"/>
        <w:rPr>
          <w:sz w:val="24"/>
          <w:szCs w:val="24"/>
        </w:rPr>
      </w:pPr>
      <w:r>
        <w:rPr>
          <w:sz w:val="24"/>
          <w:szCs w:val="24"/>
        </w:rPr>
        <w:t xml:space="preserve">  </w:t>
      </w:r>
      <w:r>
        <w:rPr>
          <w:sz w:val="24"/>
          <w:szCs w:val="24"/>
        </w:rPr>
        <w:tab/>
        <w:t xml:space="preserve">  </w:t>
        <w:tab/>
        <w:tab/>
      </w:r>
    </w:p>
    <w:p>
      <w:pPr>
        <w:pStyle w:val="Normal"/>
        <w:overflowPunct w:val="false"/>
        <w:textAlignment w:val="auto"/>
        <w:rPr>
          <w:color w:val="000000"/>
          <w:sz w:val="24"/>
          <w:szCs w:val="24"/>
          <w:lang w:val="de-DE" w:eastAsia="de-DE"/>
        </w:rPr>
      </w:pPr>
      <w:r>
        <w:rPr>
          <w:b/>
          <w:sz w:val="24"/>
          <w:szCs w:val="24"/>
        </w:rPr>
        <w:t>NEBEZPEČENSTVO</w:t>
      </w:r>
    </w:p>
    <w:p>
      <w:pPr>
        <w:pStyle w:val="Normal"/>
        <w:rPr>
          <w:sz w:val="24"/>
          <w:szCs w:val="24"/>
        </w:rPr>
      </w:pPr>
      <w:r>
        <w:rPr>
          <w:sz w:val="24"/>
          <w:szCs w:val="24"/>
        </w:rPr>
      </w:r>
    </w:p>
    <w:tbl>
      <w:tblPr>
        <w:tblW w:w="9923" w:type="dxa"/>
        <w:jc w:val="left"/>
        <w:tblInd w:w="-34" w:type="dxa"/>
        <w:tblBorders/>
        <w:tblCellMar>
          <w:top w:w="0" w:type="dxa"/>
          <w:left w:w="108" w:type="dxa"/>
          <w:bottom w:w="0" w:type="dxa"/>
          <w:right w:w="108" w:type="dxa"/>
        </w:tblCellMar>
        <w:tblLook w:firstRow="1" w:noVBand="0" w:lastRow="0" w:firstColumn="1" w:lastColumn="0" w:noHBand="0" w:val="00a0"/>
      </w:tblPr>
      <w:tblGrid>
        <w:gridCol w:w="2009"/>
        <w:gridCol w:w="7913"/>
      </w:tblGrid>
      <w:tr>
        <w:trPr/>
        <w:tc>
          <w:tcPr>
            <w:tcW w:w="2009" w:type="dxa"/>
            <w:tcBorders/>
            <w:shd w:fill="auto" w:val="clear"/>
            <w:vAlign w:val="center"/>
          </w:tcPr>
          <w:p>
            <w:pPr>
              <w:pStyle w:val="Normal"/>
              <w:spacing w:before="40" w:after="40"/>
              <w:rPr>
                <w:b/>
                <w:b/>
                <w:color w:val="A6A6A6"/>
                <w:sz w:val="24"/>
                <w:szCs w:val="24"/>
              </w:rPr>
            </w:pPr>
            <w:r>
              <w:rPr>
                <w:b/>
                <w:sz w:val="24"/>
                <w:szCs w:val="24"/>
              </w:rPr>
              <w:t>H317</w:t>
            </w:r>
          </w:p>
        </w:tc>
        <w:tc>
          <w:tcPr>
            <w:tcW w:w="7913" w:type="dxa"/>
            <w:tcBorders/>
            <w:shd w:fill="auto" w:val="clear"/>
            <w:vAlign w:val="center"/>
          </w:tcPr>
          <w:p>
            <w:pPr>
              <w:pStyle w:val="Normal"/>
              <w:ind w:left="1134" w:right="-1" w:hanging="1134"/>
              <w:rPr>
                <w:b/>
                <w:b/>
                <w:sz w:val="24"/>
                <w:szCs w:val="24"/>
              </w:rPr>
            </w:pPr>
            <w:r>
              <w:rPr>
                <w:b/>
                <w:sz w:val="24"/>
                <w:szCs w:val="24"/>
              </w:rPr>
              <w:t>Môže vyvolať alergickú kožnú reakciu.</w:t>
            </w:r>
          </w:p>
        </w:tc>
      </w:tr>
      <w:tr>
        <w:trPr/>
        <w:tc>
          <w:tcPr>
            <w:tcW w:w="2009" w:type="dxa"/>
            <w:tcBorders/>
            <w:shd w:fill="auto" w:val="clear"/>
            <w:vAlign w:val="center"/>
          </w:tcPr>
          <w:p>
            <w:pPr>
              <w:pStyle w:val="Normal"/>
              <w:spacing w:before="40" w:after="40"/>
              <w:rPr>
                <w:b/>
                <w:b/>
                <w:color w:val="BFBFBF"/>
                <w:sz w:val="24"/>
                <w:szCs w:val="24"/>
              </w:rPr>
            </w:pPr>
            <w:r>
              <w:rPr>
                <w:b/>
                <w:sz w:val="24"/>
                <w:szCs w:val="24"/>
              </w:rPr>
              <w:t>H318</w:t>
            </w:r>
          </w:p>
        </w:tc>
        <w:tc>
          <w:tcPr>
            <w:tcW w:w="7913" w:type="dxa"/>
            <w:tcBorders/>
            <w:shd w:fill="auto" w:val="clear"/>
            <w:vAlign w:val="center"/>
          </w:tcPr>
          <w:p>
            <w:pPr>
              <w:pStyle w:val="Normal"/>
              <w:ind w:left="1134" w:right="-1" w:hanging="1134"/>
              <w:rPr>
                <w:b/>
                <w:b/>
                <w:sz w:val="24"/>
                <w:szCs w:val="24"/>
              </w:rPr>
            </w:pPr>
            <w:r>
              <w:rPr>
                <w:b/>
                <w:sz w:val="24"/>
                <w:szCs w:val="24"/>
              </w:rPr>
              <w:t>Spôsobuje vážne poškodenie očí.</w:t>
            </w:r>
          </w:p>
        </w:tc>
      </w:tr>
      <w:tr>
        <w:trPr/>
        <w:tc>
          <w:tcPr>
            <w:tcW w:w="2009" w:type="dxa"/>
            <w:tcBorders/>
            <w:shd w:fill="auto" w:val="clear"/>
            <w:vAlign w:val="center"/>
          </w:tcPr>
          <w:p>
            <w:pPr>
              <w:pStyle w:val="Normal"/>
              <w:spacing w:before="40" w:after="40"/>
              <w:rPr>
                <w:b/>
                <w:b/>
                <w:sz w:val="24"/>
                <w:szCs w:val="24"/>
              </w:rPr>
            </w:pPr>
            <w:r>
              <w:rPr>
                <w:b/>
                <w:sz w:val="24"/>
                <w:szCs w:val="24"/>
              </w:rPr>
              <w:t>H335</w:t>
            </w:r>
          </w:p>
        </w:tc>
        <w:tc>
          <w:tcPr>
            <w:tcW w:w="7913" w:type="dxa"/>
            <w:tcBorders/>
            <w:shd w:fill="auto" w:val="clear"/>
            <w:vAlign w:val="center"/>
          </w:tcPr>
          <w:p>
            <w:pPr>
              <w:pStyle w:val="Normal"/>
              <w:ind w:left="1134" w:right="-1" w:hanging="1134"/>
              <w:rPr>
                <w:b/>
                <w:b/>
                <w:sz w:val="24"/>
                <w:szCs w:val="24"/>
              </w:rPr>
            </w:pPr>
            <w:r>
              <w:rPr>
                <w:b/>
                <w:sz w:val="24"/>
                <w:szCs w:val="24"/>
              </w:rPr>
              <w:t>Môže spôsobiť podráždenie dýchacích ciest.</w:t>
            </w:r>
          </w:p>
        </w:tc>
      </w:tr>
      <w:tr>
        <w:trPr/>
        <w:tc>
          <w:tcPr>
            <w:tcW w:w="2009" w:type="dxa"/>
            <w:tcBorders/>
            <w:shd w:fill="auto" w:val="clear"/>
            <w:vAlign w:val="center"/>
          </w:tcPr>
          <w:p>
            <w:pPr>
              <w:pStyle w:val="Normal"/>
              <w:spacing w:before="40" w:after="40"/>
              <w:rPr>
                <w:color w:val="A6A6A6"/>
                <w:sz w:val="24"/>
                <w:szCs w:val="24"/>
              </w:rPr>
            </w:pPr>
            <w:r>
              <w:rPr>
                <w:b/>
                <w:sz w:val="24"/>
                <w:szCs w:val="24"/>
              </w:rPr>
              <w:t>H411</w:t>
            </w:r>
          </w:p>
        </w:tc>
        <w:tc>
          <w:tcPr>
            <w:tcW w:w="7913" w:type="dxa"/>
            <w:tcBorders/>
            <w:shd w:fill="auto" w:val="clear"/>
            <w:vAlign w:val="center"/>
          </w:tcPr>
          <w:p>
            <w:pPr>
              <w:pStyle w:val="Normal"/>
              <w:ind w:left="1134" w:right="-1" w:hanging="1134"/>
              <w:rPr>
                <w:b/>
                <w:b/>
                <w:sz w:val="24"/>
                <w:szCs w:val="24"/>
              </w:rPr>
            </w:pPr>
            <w:r>
              <w:rPr>
                <w:b/>
                <w:sz w:val="24"/>
                <w:szCs w:val="24"/>
              </w:rPr>
              <w:t>Toxický pre vodné organizmy, s dlhodobými účinkami.</w:t>
            </w:r>
          </w:p>
        </w:tc>
      </w:tr>
      <w:tr>
        <w:trPr/>
        <w:tc>
          <w:tcPr>
            <w:tcW w:w="2009" w:type="dxa"/>
            <w:tcBorders/>
            <w:shd w:fill="auto" w:val="clear"/>
            <w:vAlign w:val="center"/>
          </w:tcPr>
          <w:p>
            <w:pPr>
              <w:pStyle w:val="Normal"/>
              <w:spacing w:before="40" w:after="40"/>
              <w:rPr>
                <w:b/>
                <w:b/>
                <w:sz w:val="24"/>
                <w:szCs w:val="24"/>
              </w:rPr>
            </w:pPr>
            <w:r>
              <w:rPr>
                <w:b/>
                <w:sz w:val="24"/>
                <w:szCs w:val="24"/>
              </w:rPr>
              <w:t>EUH401</w:t>
            </w:r>
          </w:p>
        </w:tc>
        <w:tc>
          <w:tcPr>
            <w:tcW w:w="7913" w:type="dxa"/>
            <w:tcBorders/>
            <w:shd w:fill="auto" w:val="clear"/>
            <w:vAlign w:val="center"/>
          </w:tcPr>
          <w:p>
            <w:pPr>
              <w:pStyle w:val="Normal"/>
              <w:rPr>
                <w:bCs/>
                <w:sz w:val="24"/>
                <w:szCs w:val="24"/>
              </w:rPr>
            </w:pPr>
            <w:r>
              <w:rPr>
                <w:bCs/>
                <w:sz w:val="24"/>
                <w:szCs w:val="24"/>
              </w:rPr>
              <w:t>Dodržiavajte návod na používanie, aby ste zabránili vzniku rizík pre ľudské zdravie a životné prostredie.</w:t>
            </w:r>
          </w:p>
        </w:tc>
      </w:tr>
      <w:tr>
        <w:trPr/>
        <w:tc>
          <w:tcPr>
            <w:tcW w:w="2009" w:type="dxa"/>
            <w:tcBorders/>
            <w:shd w:fill="auto" w:val="clear"/>
            <w:vAlign w:val="center"/>
          </w:tcPr>
          <w:p>
            <w:pPr>
              <w:pStyle w:val="Normal"/>
              <w:spacing w:before="40" w:after="40"/>
              <w:rPr>
                <w:b/>
                <w:b/>
                <w:sz w:val="24"/>
                <w:szCs w:val="24"/>
              </w:rPr>
            </w:pPr>
            <w:r>
              <w:rPr>
                <w:b/>
                <w:sz w:val="24"/>
                <w:szCs w:val="24"/>
                <w:lang w:val="pl-PL"/>
              </w:rPr>
              <w:t>P260</w:t>
            </w:r>
          </w:p>
        </w:tc>
        <w:tc>
          <w:tcPr>
            <w:tcW w:w="7913" w:type="dxa"/>
            <w:tcBorders/>
            <w:shd w:fill="auto" w:val="clear"/>
            <w:vAlign w:val="center"/>
          </w:tcPr>
          <w:p>
            <w:pPr>
              <w:pStyle w:val="Normal"/>
              <w:ind w:left="1134" w:right="-1" w:hanging="1134"/>
              <w:rPr>
                <w:sz w:val="24"/>
                <w:szCs w:val="24"/>
                <w:lang w:val="pl-PL"/>
              </w:rPr>
            </w:pPr>
            <w:r>
              <w:rPr>
                <w:sz w:val="24"/>
                <w:szCs w:val="24"/>
                <w:lang w:val="pl-PL"/>
              </w:rPr>
              <w:t>Nevdychujte prach/dym/plyn/hmlu/pary/aerosóly.</w:t>
            </w:r>
          </w:p>
        </w:tc>
      </w:tr>
      <w:tr>
        <w:trPr/>
        <w:tc>
          <w:tcPr>
            <w:tcW w:w="2009" w:type="dxa"/>
            <w:tcBorders/>
            <w:shd w:fill="auto" w:val="clear"/>
            <w:vAlign w:val="center"/>
          </w:tcPr>
          <w:p>
            <w:pPr>
              <w:pStyle w:val="Normal"/>
              <w:spacing w:before="40" w:after="40"/>
              <w:rPr>
                <w:b/>
                <w:b/>
                <w:sz w:val="24"/>
                <w:szCs w:val="24"/>
              </w:rPr>
            </w:pPr>
            <w:r>
              <w:rPr>
                <w:b/>
                <w:sz w:val="24"/>
                <w:szCs w:val="24"/>
                <w:lang w:val="pl-PL"/>
              </w:rPr>
              <w:t>P273</w:t>
            </w:r>
          </w:p>
        </w:tc>
        <w:tc>
          <w:tcPr>
            <w:tcW w:w="7913" w:type="dxa"/>
            <w:tcBorders/>
            <w:shd w:fill="auto" w:val="clear"/>
            <w:vAlign w:val="center"/>
          </w:tcPr>
          <w:p>
            <w:pPr>
              <w:pStyle w:val="Normal"/>
              <w:ind w:left="1134" w:right="-1" w:hanging="1134"/>
              <w:rPr>
                <w:sz w:val="24"/>
                <w:szCs w:val="24"/>
                <w:lang w:val="pl-PL"/>
              </w:rPr>
            </w:pPr>
            <w:r>
              <w:rPr>
                <w:sz w:val="24"/>
                <w:szCs w:val="24"/>
                <w:lang w:val="pl-PL"/>
              </w:rPr>
              <w:t>Zabráňte uvoľneniu do životného prostredia.</w:t>
            </w:r>
          </w:p>
        </w:tc>
      </w:tr>
      <w:tr>
        <w:trPr/>
        <w:tc>
          <w:tcPr>
            <w:tcW w:w="2009" w:type="dxa"/>
            <w:tcBorders/>
            <w:shd w:fill="auto" w:val="clear"/>
            <w:vAlign w:val="center"/>
          </w:tcPr>
          <w:p>
            <w:pPr>
              <w:pStyle w:val="Normal"/>
              <w:spacing w:before="40" w:after="40"/>
              <w:rPr>
                <w:b/>
                <w:b/>
                <w:sz w:val="24"/>
                <w:szCs w:val="24"/>
              </w:rPr>
            </w:pPr>
            <w:r>
              <w:rPr>
                <w:b/>
                <w:sz w:val="24"/>
                <w:szCs w:val="24"/>
                <w:lang w:val="pl-PL"/>
              </w:rPr>
              <w:t>P280</w:t>
            </w:r>
          </w:p>
        </w:tc>
        <w:tc>
          <w:tcPr>
            <w:tcW w:w="7913" w:type="dxa"/>
            <w:tcBorders/>
            <w:shd w:fill="auto" w:val="clear"/>
            <w:vAlign w:val="center"/>
          </w:tcPr>
          <w:p>
            <w:pPr>
              <w:pStyle w:val="Normal"/>
              <w:ind w:left="1134" w:right="-1" w:hanging="1134"/>
              <w:rPr>
                <w:sz w:val="24"/>
                <w:szCs w:val="24"/>
              </w:rPr>
            </w:pPr>
            <w:r>
              <w:rPr>
                <w:sz w:val="24"/>
                <w:szCs w:val="24"/>
              </w:rPr>
              <w:t>Noste ochranné rukavice/ochranný odev/ochranné okuliare/ochranu tváre.</w:t>
            </w:r>
          </w:p>
        </w:tc>
      </w:tr>
      <w:tr>
        <w:trPr/>
        <w:tc>
          <w:tcPr>
            <w:tcW w:w="2009" w:type="dxa"/>
            <w:tcBorders/>
            <w:shd w:fill="auto" w:val="clear"/>
          </w:tcPr>
          <w:p>
            <w:pPr>
              <w:pStyle w:val="Normal"/>
              <w:spacing w:before="40" w:after="40"/>
              <w:rPr>
                <w:b/>
                <w:b/>
                <w:sz w:val="24"/>
                <w:szCs w:val="24"/>
                <w:lang w:val="pl-PL"/>
              </w:rPr>
            </w:pPr>
            <w:r>
              <w:rPr>
                <w:b/>
                <w:sz w:val="24"/>
                <w:szCs w:val="24"/>
                <w:lang w:val="pl-PL"/>
              </w:rPr>
              <w:t>P305+P351+P338</w:t>
            </w:r>
          </w:p>
        </w:tc>
        <w:tc>
          <w:tcPr>
            <w:tcW w:w="7913" w:type="dxa"/>
            <w:tcBorders/>
            <w:shd w:fill="auto" w:val="clear"/>
            <w:vAlign w:val="center"/>
          </w:tcPr>
          <w:p>
            <w:pPr>
              <w:pStyle w:val="Normal"/>
              <w:ind w:right="-1" w:hanging="0"/>
              <w:rPr>
                <w:sz w:val="24"/>
                <w:szCs w:val="24"/>
                <w:lang w:val="pl-PL"/>
              </w:rPr>
            </w:pPr>
            <w:r>
              <w:rPr>
                <w:sz w:val="24"/>
                <w:szCs w:val="24"/>
                <w:lang w:val="pl-PL"/>
              </w:rPr>
              <w:t>PO ZASIAHNUTÍ OĈÍ: Niekoľko minút ich opatrne vyplachujte vodou. Ak používate kontaktné šošovky a ak je to možné, odstráňte ich. Pokračujte vo vyplachovaní.</w:t>
            </w:r>
          </w:p>
        </w:tc>
      </w:tr>
      <w:tr>
        <w:trPr/>
        <w:tc>
          <w:tcPr>
            <w:tcW w:w="2009" w:type="dxa"/>
            <w:tcBorders/>
            <w:shd w:fill="auto" w:val="clear"/>
          </w:tcPr>
          <w:p>
            <w:pPr>
              <w:pStyle w:val="Normal"/>
              <w:spacing w:before="40" w:after="40"/>
              <w:rPr>
                <w:b/>
                <w:b/>
                <w:sz w:val="24"/>
                <w:szCs w:val="24"/>
                <w:lang w:val="pl-PL"/>
              </w:rPr>
            </w:pPr>
            <w:r>
              <w:rPr>
                <w:b/>
                <w:sz w:val="24"/>
                <w:szCs w:val="24"/>
                <w:lang w:val="pl-PL"/>
              </w:rPr>
              <w:t>P333+P313</w:t>
            </w:r>
          </w:p>
        </w:tc>
        <w:tc>
          <w:tcPr>
            <w:tcW w:w="7913" w:type="dxa"/>
            <w:tcBorders/>
            <w:shd w:fill="auto" w:val="clear"/>
            <w:vAlign w:val="center"/>
          </w:tcPr>
          <w:p>
            <w:pPr>
              <w:pStyle w:val="Normal"/>
              <w:ind w:right="-1" w:hanging="0"/>
              <w:rPr>
                <w:sz w:val="24"/>
                <w:szCs w:val="24"/>
                <w:lang w:val="pl-PL"/>
              </w:rPr>
            </w:pPr>
            <w:r>
              <w:rPr>
                <w:sz w:val="24"/>
                <w:szCs w:val="24"/>
                <w:lang w:val="pl-PL"/>
              </w:rPr>
              <w:t>Ak sa prejaví podráždenie pokožky alebo sa vytvoria vyrážky: vyhľadajte lekársku pomoc/ starostlivosť.</w:t>
            </w:r>
          </w:p>
        </w:tc>
      </w:tr>
      <w:tr>
        <w:trPr/>
        <w:tc>
          <w:tcPr>
            <w:tcW w:w="2009" w:type="dxa"/>
            <w:tcBorders/>
            <w:shd w:fill="auto" w:val="clear"/>
            <w:vAlign w:val="center"/>
          </w:tcPr>
          <w:p>
            <w:pPr>
              <w:pStyle w:val="Normal"/>
              <w:spacing w:before="40" w:after="40"/>
              <w:rPr>
                <w:b/>
                <w:b/>
                <w:sz w:val="24"/>
                <w:szCs w:val="24"/>
                <w:lang w:val="pl-PL"/>
              </w:rPr>
            </w:pPr>
            <w:r>
              <w:rPr>
                <w:b/>
                <w:sz w:val="24"/>
                <w:szCs w:val="24"/>
                <w:lang w:val="pl-PL"/>
              </w:rPr>
              <w:t>P391</w:t>
            </w:r>
          </w:p>
        </w:tc>
        <w:tc>
          <w:tcPr>
            <w:tcW w:w="7913" w:type="dxa"/>
            <w:tcBorders/>
            <w:shd w:fill="auto" w:val="clear"/>
            <w:vAlign w:val="center"/>
          </w:tcPr>
          <w:p>
            <w:pPr>
              <w:pStyle w:val="Normal"/>
              <w:ind w:right="-1" w:hanging="0"/>
              <w:rPr>
                <w:sz w:val="24"/>
                <w:szCs w:val="24"/>
                <w:lang w:val="pl-PL"/>
              </w:rPr>
            </w:pPr>
            <w:r>
              <w:rPr>
                <w:sz w:val="24"/>
                <w:szCs w:val="24"/>
              </w:rPr>
              <w:t>Zozbierajte uniknutý produkt.</w:t>
            </w:r>
          </w:p>
        </w:tc>
      </w:tr>
      <w:tr>
        <w:trPr/>
        <w:tc>
          <w:tcPr>
            <w:tcW w:w="2009" w:type="dxa"/>
            <w:tcBorders/>
            <w:shd w:fill="auto" w:val="clear"/>
            <w:vAlign w:val="center"/>
          </w:tcPr>
          <w:p>
            <w:pPr>
              <w:pStyle w:val="Normal"/>
              <w:spacing w:before="40" w:after="40"/>
              <w:rPr>
                <w:b/>
                <w:b/>
                <w:sz w:val="24"/>
                <w:szCs w:val="24"/>
                <w:lang w:val="pl-PL"/>
              </w:rPr>
            </w:pPr>
            <w:r>
              <w:rPr>
                <w:b/>
                <w:sz w:val="24"/>
                <w:szCs w:val="24"/>
                <w:lang w:val="pl-PL"/>
              </w:rPr>
              <w:t>P501</w:t>
            </w:r>
          </w:p>
        </w:tc>
        <w:tc>
          <w:tcPr>
            <w:tcW w:w="7913" w:type="dxa"/>
            <w:tcBorders/>
            <w:shd w:fill="auto" w:val="clear"/>
            <w:vAlign w:val="center"/>
          </w:tcPr>
          <w:p>
            <w:pPr>
              <w:pStyle w:val="Normal"/>
              <w:ind w:right="-1" w:hanging="0"/>
              <w:rPr>
                <w:sz w:val="24"/>
                <w:szCs w:val="24"/>
                <w:lang w:val="pl-PL"/>
              </w:rPr>
            </w:pPr>
            <w:r>
              <w:rPr>
                <w:sz w:val="24"/>
                <w:szCs w:val="24"/>
                <w:lang w:val="pl-PL"/>
              </w:rPr>
              <w:t>Obsah/obaly zlikvidujte v súlade s miestnymi a národnými predpismi.</w:t>
            </w:r>
          </w:p>
        </w:tc>
      </w:tr>
    </w:tbl>
    <w:p>
      <w:pPr>
        <w:pStyle w:val="Normal"/>
        <w:ind w:right="-1" w:hanging="0"/>
        <w:jc w:val="both"/>
        <w:rPr>
          <w:sz w:val="24"/>
          <w:szCs w:val="24"/>
        </w:rPr>
      </w:pPr>
      <w:r>
        <w:rPr>
          <w:sz w:val="24"/>
          <w:szCs w:val="24"/>
        </w:rPr>
      </w:r>
    </w:p>
    <w:p>
      <w:pPr>
        <w:pStyle w:val="Normal"/>
        <w:ind w:left="709" w:hanging="709"/>
        <w:jc w:val="both"/>
        <w:rPr>
          <w:color w:val="000000"/>
          <w:sz w:val="24"/>
          <w:szCs w:val="24"/>
        </w:rPr>
      </w:pPr>
      <w:r>
        <w:rPr>
          <w:b/>
          <w:sz w:val="24"/>
          <w:szCs w:val="24"/>
        </w:rPr>
        <w:t>SP1</w:t>
      </w:r>
      <w:r>
        <w:rPr>
          <w:sz w:val="24"/>
          <w:szCs w:val="24"/>
        </w:rPr>
        <w:t xml:space="preserve"> </w:t>
        <w:tab/>
      </w:r>
      <w:r>
        <w:rPr>
          <w:color w:val="000000"/>
          <w:sz w:val="24"/>
          <w:szCs w:val="24"/>
        </w:rPr>
        <w:t>Neznečisťovať vodu prípravkom alebo jeho obalom. Nečistiť aplikačné zariadenia v blízkosti povrchových vôd. Zabrániť kontaminácii prostredníctvom odtokových kanálov z poľnohospodárskych dvorov a vozoviek ciest.</w:t>
      </w:r>
    </w:p>
    <w:p>
      <w:pPr>
        <w:pStyle w:val="Normal"/>
        <w:ind w:left="709" w:hanging="709"/>
        <w:rPr>
          <w:color w:val="000000"/>
          <w:sz w:val="24"/>
          <w:szCs w:val="24"/>
        </w:rPr>
      </w:pPr>
      <w:r>
        <w:rPr>
          <w:color w:val="000000"/>
          <w:sz w:val="24"/>
          <w:szCs w:val="24"/>
        </w:rPr>
      </w:r>
    </w:p>
    <w:p>
      <w:pPr>
        <w:pStyle w:val="Normal"/>
        <w:overflowPunct w:val="false"/>
        <w:ind w:left="705" w:hanging="705"/>
        <w:jc w:val="both"/>
        <w:textAlignment w:val="auto"/>
        <w:rPr>
          <w:rFonts w:eastAsia="Calibri" w:eastAsiaTheme="minorHAnsi"/>
          <w:sz w:val="24"/>
          <w:szCs w:val="24"/>
          <w:lang w:eastAsia="en-US"/>
        </w:rPr>
      </w:pPr>
      <w:r>
        <w:rPr>
          <w:b/>
          <w:color w:val="000000"/>
          <w:sz w:val="24"/>
          <w:szCs w:val="24"/>
        </w:rPr>
        <w:t>Z4</w:t>
      </w:r>
      <w:r>
        <w:rPr>
          <w:color w:val="000000"/>
          <w:sz w:val="24"/>
          <w:szCs w:val="24"/>
        </w:rPr>
        <w:tab/>
      </w:r>
      <w:r>
        <w:rPr>
          <w:rFonts w:eastAsia="Calibri" w:eastAsiaTheme="minorHAnsi"/>
          <w:sz w:val="24"/>
          <w:szCs w:val="24"/>
          <w:lang w:eastAsia="en-US"/>
        </w:rPr>
        <w:t>Riziko vyplývajúce z použitia prípravku je pri dodržaní predpísanej dávky alebo koncentrácie pre domáce, hospodárske a voľne žijúce zvieratá prijateľné.</w:t>
      </w:r>
    </w:p>
    <w:p>
      <w:pPr>
        <w:pStyle w:val="Normal"/>
        <w:overflowPunct w:val="false"/>
        <w:ind w:left="705" w:hanging="705"/>
        <w:jc w:val="both"/>
        <w:textAlignment w:val="auto"/>
        <w:rPr>
          <w:rFonts w:eastAsia="Calibri" w:eastAsiaTheme="minorHAnsi"/>
          <w:sz w:val="24"/>
          <w:szCs w:val="24"/>
          <w:lang w:eastAsia="en-US"/>
        </w:rPr>
      </w:pPr>
      <w:r>
        <w:rPr>
          <w:b/>
          <w:color w:val="000000"/>
          <w:sz w:val="24"/>
          <w:szCs w:val="24"/>
        </w:rPr>
        <w:t>Vt5</w:t>
      </w:r>
      <w:r>
        <w:rPr>
          <w:color w:val="000000"/>
          <w:sz w:val="24"/>
          <w:szCs w:val="24"/>
        </w:rPr>
        <w:tab/>
      </w:r>
      <w:r>
        <w:rPr>
          <w:rFonts w:eastAsia="Calibri" w:eastAsiaTheme="minorHAnsi"/>
          <w:sz w:val="24"/>
          <w:szCs w:val="24"/>
          <w:lang w:eastAsia="en-US"/>
        </w:rPr>
        <w:t>Riziko vyplývajúce z použitia prípravku je pri dodržaní predpísanej dávky alebo koncentrácie pre vtáky prijateľné.</w:t>
      </w:r>
    </w:p>
    <w:p>
      <w:pPr>
        <w:pStyle w:val="Normal"/>
        <w:ind w:left="709" w:hanging="709"/>
        <w:rPr>
          <w:color w:val="000000"/>
          <w:sz w:val="24"/>
          <w:szCs w:val="24"/>
        </w:rPr>
      </w:pPr>
      <w:r>
        <w:rPr>
          <w:b/>
          <w:color w:val="000000"/>
          <w:sz w:val="24"/>
          <w:szCs w:val="24"/>
        </w:rPr>
        <w:t>Vo2</w:t>
      </w:r>
      <w:r>
        <w:rPr>
          <w:color w:val="000000"/>
          <w:sz w:val="24"/>
          <w:szCs w:val="24"/>
        </w:rPr>
        <w:tab/>
      </w:r>
      <w:r>
        <w:rPr>
          <w:rFonts w:eastAsia="Calibri" w:eastAsiaTheme="minorHAnsi"/>
          <w:sz w:val="24"/>
          <w:szCs w:val="24"/>
          <w:lang w:eastAsia="en-US"/>
        </w:rPr>
        <w:t>Pre ryby a ostatné vodné živočíchy jedovatý.</w:t>
      </w:r>
    </w:p>
    <w:p>
      <w:pPr>
        <w:pStyle w:val="Normal"/>
        <w:ind w:left="709" w:hanging="709"/>
        <w:rPr>
          <w:color w:val="000000"/>
          <w:sz w:val="24"/>
          <w:szCs w:val="24"/>
        </w:rPr>
      </w:pPr>
      <w:r>
        <w:rPr>
          <w:b/>
          <w:color w:val="000000"/>
          <w:sz w:val="24"/>
          <w:szCs w:val="24"/>
        </w:rPr>
        <w:t>V3</w:t>
      </w:r>
      <w:r>
        <w:rPr>
          <w:color w:val="000000"/>
          <w:sz w:val="24"/>
          <w:szCs w:val="24"/>
        </w:rPr>
        <w:tab/>
      </w:r>
      <w:r>
        <w:rPr>
          <w:rFonts w:eastAsia="Calibri" w:eastAsiaTheme="minorHAnsi"/>
          <w:sz w:val="24"/>
          <w:szCs w:val="24"/>
          <w:lang w:eastAsia="en-US"/>
        </w:rPr>
        <w:t>Riziko prípravku je prijateľné pre: dážďovky a iné pôdne makroorganizmy.</w:t>
      </w:r>
    </w:p>
    <w:p>
      <w:pPr>
        <w:pStyle w:val="Normal"/>
        <w:ind w:left="709" w:hanging="709"/>
        <w:rPr>
          <w:color w:val="000000"/>
          <w:sz w:val="24"/>
          <w:szCs w:val="24"/>
        </w:rPr>
      </w:pPr>
      <w:r>
        <w:rPr>
          <w:color w:val="000000"/>
          <w:sz w:val="24"/>
          <w:szCs w:val="24"/>
        </w:rPr>
      </w:r>
    </w:p>
    <w:p>
      <w:pPr>
        <w:pStyle w:val="Normal"/>
        <w:ind w:right="-1" w:hanging="0"/>
        <w:jc w:val="both"/>
        <w:rPr>
          <w:b/>
          <w:b/>
          <w:sz w:val="24"/>
          <w:szCs w:val="24"/>
        </w:rPr>
      </w:pPr>
      <w:r>
        <w:rPr>
          <w:b/>
          <w:sz w:val="24"/>
          <w:szCs w:val="24"/>
        </w:rPr>
        <w:t>Zákaz používania prípravku v 1. ochrannom pásme zdrojov pitných vôd!</w:t>
      </w:r>
    </w:p>
    <w:p>
      <w:pPr>
        <w:pStyle w:val="Normal"/>
        <w:ind w:right="-1" w:hanging="0"/>
        <w:jc w:val="both"/>
        <w:rPr>
          <w:b/>
          <w:b/>
          <w:sz w:val="24"/>
          <w:szCs w:val="24"/>
        </w:rPr>
      </w:pPr>
      <w:r>
        <w:rPr>
          <w:b/>
          <w:sz w:val="24"/>
          <w:szCs w:val="24"/>
        </w:rPr>
        <w:t>Dbajte o to aby sa prípravok v žiadnom prípade nedostal do tečúcich a stojatých vôd vo voľnej prírode. Dodržujte ochrannú zónu!</w:t>
      </w:r>
    </w:p>
    <w:p>
      <w:pPr>
        <w:pStyle w:val="Normal"/>
        <w:ind w:right="-1" w:hanging="0"/>
        <w:jc w:val="both"/>
        <w:rPr>
          <w:b/>
          <w:b/>
          <w:sz w:val="24"/>
          <w:szCs w:val="24"/>
        </w:rPr>
      </w:pPr>
      <w:r>
        <w:rPr>
          <w:b/>
          <w:sz w:val="24"/>
          <w:szCs w:val="24"/>
        </w:rPr>
        <w:t>Uložte mimo dosah zvierat!</w:t>
      </w:r>
    </w:p>
    <w:p>
      <w:pPr>
        <w:pStyle w:val="Normal"/>
        <w:ind w:right="-1" w:hanging="0"/>
        <w:jc w:val="both"/>
        <w:rPr>
          <w:b/>
          <w:b/>
          <w:sz w:val="24"/>
          <w:szCs w:val="24"/>
        </w:rPr>
      </w:pPr>
      <w:r>
        <w:rPr>
          <w:b/>
          <w:sz w:val="24"/>
          <w:szCs w:val="24"/>
        </w:rPr>
        <w:t>Pred použitím si prečítajte sprievodné pokyny!</w:t>
      </w:r>
    </w:p>
    <w:p>
      <w:pPr>
        <w:pStyle w:val="Normal"/>
        <w:jc w:val="both"/>
        <w:rPr>
          <w:bCs/>
          <w:caps/>
          <w:sz w:val="24"/>
          <w:szCs w:val="24"/>
        </w:rPr>
      </w:pPr>
      <w:r>
        <w:rPr>
          <w:bCs/>
          <w:caps/>
          <w:sz w:val="24"/>
          <w:szCs w:val="24"/>
        </w:rPr>
        <w:t>PRÍPRAVOK V TOMTO VEĽKOSPOTREBITEĽSKOM BALENÍ NESMIE BYŤ PONÚKANÝ ALEBO PREDÁVANÝ ŠIROKEJ VEREJNOSTI!</w:t>
      </w:r>
    </w:p>
    <w:p>
      <w:pPr>
        <w:pStyle w:val="Normal"/>
        <w:rPr>
          <w:b/>
          <w:b/>
          <w:caps/>
          <w:sz w:val="24"/>
          <w:szCs w:val="24"/>
        </w:rPr>
      </w:pPr>
      <w:r>
        <w:rPr>
          <w:b/>
          <w:caps/>
          <w:sz w:val="24"/>
          <w:szCs w:val="24"/>
        </w:rPr>
      </w:r>
    </w:p>
    <w:tbl>
      <w:tblPr>
        <w:tblW w:w="9923" w:type="dxa"/>
        <w:jc w:val="left"/>
        <w:tblInd w:w="-34" w:type="dxa"/>
        <w:tblBorders/>
        <w:tblCellMar>
          <w:top w:w="0" w:type="dxa"/>
          <w:left w:w="108" w:type="dxa"/>
          <w:bottom w:w="0" w:type="dxa"/>
          <w:right w:w="108" w:type="dxa"/>
        </w:tblCellMar>
        <w:tblLook w:firstRow="1" w:noVBand="0" w:lastRow="0" w:firstColumn="1" w:lastColumn="0" w:noHBand="0" w:val="00a0"/>
      </w:tblPr>
      <w:tblGrid>
        <w:gridCol w:w="3686"/>
        <w:gridCol w:w="6236"/>
      </w:tblGrid>
      <w:tr>
        <w:trPr/>
        <w:tc>
          <w:tcPr>
            <w:tcW w:w="3686" w:type="dxa"/>
            <w:tcBorders/>
            <w:shd w:color="auto" w:fill="auto" w:val="clear"/>
          </w:tcPr>
          <w:p>
            <w:pPr>
              <w:pStyle w:val="Normal"/>
              <w:rPr>
                <w:b/>
                <w:b/>
                <w:bCs/>
                <w:sz w:val="24"/>
                <w:szCs w:val="24"/>
              </w:rPr>
            </w:pPr>
            <w:r>
              <w:rPr>
                <w:b/>
                <w:bCs/>
                <w:sz w:val="24"/>
                <w:szCs w:val="24"/>
              </w:rPr>
              <w:t xml:space="preserve">Držiteľ autorizácie, konečné balenie a označovanie: </w:t>
            </w:r>
          </w:p>
        </w:tc>
        <w:tc>
          <w:tcPr>
            <w:tcW w:w="6236" w:type="dxa"/>
            <w:tcBorders/>
            <w:shd w:color="auto" w:fill="auto" w:val="clear"/>
          </w:tcPr>
          <w:p>
            <w:pPr>
              <w:pStyle w:val="Normal"/>
              <w:tabs>
                <w:tab w:val="left" w:pos="3969" w:leader="none"/>
              </w:tabs>
              <w:rPr>
                <w:bCs/>
                <w:sz w:val="24"/>
                <w:szCs w:val="24"/>
              </w:rPr>
            </w:pPr>
            <w:r>
              <w:rPr>
                <w:sz w:val="24"/>
                <w:szCs w:val="24"/>
              </w:rPr>
              <w:t>HELM AG, Nordkanalstr. 28, 20097, Hamburg, Nemecko; tel. 0049-40-2375-0</w:t>
            </w:r>
          </w:p>
        </w:tc>
      </w:tr>
      <w:tr>
        <w:trPr/>
        <w:tc>
          <w:tcPr>
            <w:tcW w:w="3686" w:type="dxa"/>
            <w:tcBorders/>
            <w:shd w:color="auto" w:fill="auto" w:val="clear"/>
          </w:tcPr>
          <w:p>
            <w:pPr>
              <w:pStyle w:val="Normal"/>
              <w:tabs>
                <w:tab w:val="left" w:pos="3969" w:leader="none"/>
              </w:tabs>
              <w:rPr>
                <w:b/>
                <w:b/>
                <w:bCs/>
                <w:sz w:val="24"/>
                <w:szCs w:val="24"/>
              </w:rPr>
            </w:pPr>
            <w:r>
              <w:rPr>
                <w:b/>
                <w:bCs/>
                <w:sz w:val="24"/>
                <w:szCs w:val="24"/>
              </w:rPr>
            </w:r>
          </w:p>
        </w:tc>
        <w:tc>
          <w:tcPr>
            <w:tcW w:w="6236" w:type="dxa"/>
            <w:tcBorders/>
            <w:shd w:color="auto" w:fill="auto" w:val="clear"/>
          </w:tcPr>
          <w:p>
            <w:pPr>
              <w:pStyle w:val="Normal"/>
              <w:tabs>
                <w:tab w:val="left" w:pos="3969" w:leader="none"/>
              </w:tabs>
              <w:rPr>
                <w:b/>
                <w:b/>
                <w:bCs/>
                <w:sz w:val="24"/>
                <w:szCs w:val="24"/>
              </w:rPr>
            </w:pPr>
            <w:r>
              <w:rPr>
                <w:b/>
                <w:bCs/>
                <w:sz w:val="24"/>
                <w:szCs w:val="24"/>
              </w:rPr>
            </w:r>
          </w:p>
        </w:tc>
      </w:tr>
      <w:tr>
        <w:trPr/>
        <w:tc>
          <w:tcPr>
            <w:tcW w:w="3686" w:type="dxa"/>
            <w:tcBorders/>
            <w:shd w:color="auto" w:fill="auto" w:val="clear"/>
          </w:tcPr>
          <w:p>
            <w:pPr>
              <w:pStyle w:val="Normal"/>
              <w:tabs>
                <w:tab w:val="left" w:pos="3969" w:leader="none"/>
              </w:tabs>
              <w:rPr>
                <w:b/>
                <w:b/>
                <w:bCs/>
                <w:sz w:val="24"/>
                <w:szCs w:val="24"/>
              </w:rPr>
            </w:pPr>
            <w:r>
              <w:rPr>
                <w:b/>
                <w:bCs/>
                <w:sz w:val="24"/>
                <w:szCs w:val="24"/>
              </w:rPr>
              <w:t>Číslo autorizácie ÚKSÚP</w:t>
            </w:r>
            <w:r>
              <w:rPr>
                <w:b/>
                <w:sz w:val="24"/>
                <w:szCs w:val="24"/>
              </w:rPr>
              <w:t xml:space="preserve">: </w:t>
            </w:r>
            <w:r>
              <w:rPr>
                <w:sz w:val="24"/>
                <w:szCs w:val="24"/>
              </w:rPr>
              <w:t xml:space="preserve">   </w:t>
            </w:r>
          </w:p>
        </w:tc>
        <w:tc>
          <w:tcPr>
            <w:tcW w:w="6236" w:type="dxa"/>
            <w:tcBorders/>
            <w:shd w:color="auto" w:fill="auto" w:val="clear"/>
          </w:tcPr>
          <w:p>
            <w:pPr>
              <w:pStyle w:val="Normal"/>
              <w:tabs>
                <w:tab w:val="left" w:pos="3969" w:leader="none"/>
              </w:tabs>
              <w:rPr>
                <w:b/>
                <w:b/>
                <w:bCs/>
                <w:sz w:val="24"/>
                <w:szCs w:val="24"/>
              </w:rPr>
            </w:pPr>
            <w:bookmarkStart w:id="0" w:name="_GoBack"/>
            <w:bookmarkEnd w:id="0"/>
            <w:r>
              <w:rPr>
                <w:b/>
                <w:sz w:val="28"/>
                <w:szCs w:val="28"/>
              </w:rPr>
              <w:t>15-14-1511</w:t>
            </w:r>
          </w:p>
        </w:tc>
      </w:tr>
      <w:tr>
        <w:trPr/>
        <w:tc>
          <w:tcPr>
            <w:tcW w:w="3686" w:type="dxa"/>
            <w:tcBorders/>
            <w:shd w:color="auto" w:fill="auto" w:val="clear"/>
          </w:tcPr>
          <w:p>
            <w:pPr>
              <w:pStyle w:val="Normal"/>
              <w:tabs>
                <w:tab w:val="left" w:pos="3969" w:leader="none"/>
              </w:tabs>
              <w:rPr>
                <w:b/>
                <w:b/>
                <w:bCs/>
                <w:sz w:val="24"/>
                <w:szCs w:val="24"/>
              </w:rPr>
            </w:pPr>
            <w:r>
              <w:rPr>
                <w:b/>
                <w:bCs/>
                <w:sz w:val="24"/>
                <w:szCs w:val="24"/>
              </w:rPr>
            </w:r>
          </w:p>
        </w:tc>
        <w:tc>
          <w:tcPr>
            <w:tcW w:w="6236" w:type="dxa"/>
            <w:tcBorders/>
            <w:shd w:color="auto" w:fill="auto" w:val="clear"/>
          </w:tcPr>
          <w:p>
            <w:pPr>
              <w:pStyle w:val="Normal"/>
              <w:tabs>
                <w:tab w:val="left" w:pos="3969" w:leader="none"/>
              </w:tabs>
              <w:rPr>
                <w:b/>
                <w:b/>
                <w:sz w:val="28"/>
                <w:szCs w:val="28"/>
              </w:rPr>
            </w:pPr>
            <w:r>
              <w:rPr>
                <w:b/>
                <w:sz w:val="28"/>
                <w:szCs w:val="28"/>
              </w:rPr>
            </w:r>
          </w:p>
        </w:tc>
      </w:tr>
      <w:tr>
        <w:trPr/>
        <w:tc>
          <w:tcPr>
            <w:tcW w:w="3686" w:type="dxa"/>
            <w:tcBorders/>
            <w:shd w:color="auto" w:fill="auto" w:val="clear"/>
          </w:tcPr>
          <w:p>
            <w:pPr>
              <w:pStyle w:val="Normal"/>
              <w:tabs>
                <w:tab w:val="left" w:pos="3969" w:leader="none"/>
              </w:tabs>
              <w:rPr>
                <w:b/>
                <w:b/>
                <w:bCs/>
                <w:sz w:val="24"/>
                <w:szCs w:val="24"/>
              </w:rPr>
            </w:pPr>
            <w:r>
              <w:rPr>
                <w:b/>
                <w:bCs/>
                <w:sz w:val="24"/>
                <w:szCs w:val="24"/>
              </w:rPr>
              <w:t>Dátum výroby</w:t>
            </w:r>
            <w:r>
              <w:rPr>
                <w:sz w:val="24"/>
                <w:szCs w:val="24"/>
              </w:rPr>
              <w:t>:</w:t>
            </w:r>
          </w:p>
        </w:tc>
        <w:tc>
          <w:tcPr>
            <w:tcW w:w="6236" w:type="dxa"/>
            <w:tcBorders/>
            <w:shd w:color="auto" w:fill="auto" w:val="clear"/>
          </w:tcPr>
          <w:p>
            <w:pPr>
              <w:pStyle w:val="Normal"/>
              <w:tabs>
                <w:tab w:val="left" w:pos="3969" w:leader="none"/>
              </w:tabs>
              <w:rPr>
                <w:b/>
                <w:b/>
                <w:bCs/>
                <w:sz w:val="24"/>
                <w:szCs w:val="24"/>
              </w:rPr>
            </w:pPr>
            <w:r>
              <w:rPr>
                <w:sz w:val="24"/>
                <w:szCs w:val="24"/>
              </w:rPr>
              <w:t>uvedené na obale</w:t>
            </w:r>
          </w:p>
        </w:tc>
      </w:tr>
      <w:tr>
        <w:trPr/>
        <w:tc>
          <w:tcPr>
            <w:tcW w:w="3686" w:type="dxa"/>
            <w:tcBorders/>
            <w:shd w:color="auto" w:fill="auto" w:val="clear"/>
          </w:tcPr>
          <w:p>
            <w:pPr>
              <w:pStyle w:val="Normal"/>
              <w:tabs>
                <w:tab w:val="left" w:pos="3969" w:leader="none"/>
              </w:tabs>
              <w:rPr>
                <w:b/>
                <w:b/>
                <w:bCs/>
                <w:sz w:val="24"/>
                <w:szCs w:val="24"/>
              </w:rPr>
            </w:pPr>
            <w:r>
              <w:rPr>
                <w:b/>
                <w:bCs/>
                <w:sz w:val="24"/>
                <w:szCs w:val="24"/>
              </w:rPr>
              <w:t>Číslo šarže</w:t>
            </w:r>
            <w:r>
              <w:rPr>
                <w:sz w:val="24"/>
                <w:szCs w:val="24"/>
              </w:rPr>
              <w:t>:</w:t>
            </w:r>
          </w:p>
        </w:tc>
        <w:tc>
          <w:tcPr>
            <w:tcW w:w="6236" w:type="dxa"/>
            <w:tcBorders/>
            <w:shd w:color="auto" w:fill="auto" w:val="clear"/>
          </w:tcPr>
          <w:p>
            <w:pPr>
              <w:pStyle w:val="Normal"/>
              <w:tabs>
                <w:tab w:val="left" w:pos="3969" w:leader="none"/>
              </w:tabs>
              <w:rPr>
                <w:b/>
                <w:b/>
                <w:bCs/>
                <w:sz w:val="24"/>
                <w:szCs w:val="24"/>
              </w:rPr>
            </w:pPr>
            <w:r>
              <w:rPr>
                <w:sz w:val="24"/>
                <w:szCs w:val="24"/>
              </w:rPr>
              <w:t>uvedené na obale</w:t>
            </w:r>
          </w:p>
        </w:tc>
      </w:tr>
      <w:tr>
        <w:trPr/>
        <w:tc>
          <w:tcPr>
            <w:tcW w:w="3686" w:type="dxa"/>
            <w:tcBorders/>
            <w:shd w:color="auto" w:fill="auto" w:val="clear"/>
          </w:tcPr>
          <w:p>
            <w:pPr>
              <w:pStyle w:val="Normal"/>
              <w:tabs>
                <w:tab w:val="left" w:pos="3969" w:leader="none"/>
              </w:tabs>
              <w:rPr>
                <w:b/>
                <w:b/>
                <w:bCs/>
                <w:sz w:val="24"/>
                <w:szCs w:val="24"/>
              </w:rPr>
            </w:pPr>
            <w:r>
              <w:rPr>
                <w:b/>
                <w:bCs/>
                <w:sz w:val="24"/>
                <w:szCs w:val="24"/>
              </w:rPr>
            </w:r>
          </w:p>
        </w:tc>
        <w:tc>
          <w:tcPr>
            <w:tcW w:w="6236" w:type="dxa"/>
            <w:tcBorders/>
            <w:shd w:color="auto" w:fill="auto" w:val="clear"/>
          </w:tcPr>
          <w:p>
            <w:pPr>
              <w:pStyle w:val="Normal"/>
              <w:tabs>
                <w:tab w:val="left" w:pos="3969" w:leader="none"/>
              </w:tabs>
              <w:rPr>
                <w:sz w:val="24"/>
                <w:szCs w:val="24"/>
              </w:rPr>
            </w:pPr>
            <w:r>
              <w:rPr>
                <w:sz w:val="24"/>
                <w:szCs w:val="24"/>
              </w:rPr>
            </w:r>
          </w:p>
        </w:tc>
      </w:tr>
      <w:tr>
        <w:trPr/>
        <w:tc>
          <w:tcPr>
            <w:tcW w:w="3686" w:type="dxa"/>
            <w:tcBorders/>
            <w:shd w:color="auto" w:fill="auto" w:val="clear"/>
          </w:tcPr>
          <w:p>
            <w:pPr>
              <w:pStyle w:val="Normal"/>
              <w:tabs>
                <w:tab w:val="left" w:pos="3969" w:leader="none"/>
              </w:tabs>
              <w:rPr>
                <w:b/>
                <w:b/>
                <w:bCs/>
                <w:sz w:val="24"/>
                <w:szCs w:val="24"/>
              </w:rPr>
            </w:pPr>
            <w:r>
              <w:rPr>
                <w:b/>
                <w:bCs/>
                <w:sz w:val="24"/>
                <w:szCs w:val="24"/>
              </w:rPr>
              <w:t>Balenie:</w:t>
            </w:r>
          </w:p>
          <w:p>
            <w:pPr>
              <w:pStyle w:val="Normal"/>
              <w:tabs>
                <w:tab w:val="left" w:pos="3969" w:leader="none"/>
              </w:tabs>
              <w:rPr>
                <w:b/>
                <w:b/>
                <w:bCs/>
                <w:sz w:val="24"/>
                <w:szCs w:val="24"/>
              </w:rPr>
            </w:pPr>
            <w:r>
              <w:rPr>
                <w:b/>
                <w:bCs/>
                <w:sz w:val="24"/>
                <w:szCs w:val="24"/>
              </w:rPr>
            </w:r>
          </w:p>
        </w:tc>
        <w:tc>
          <w:tcPr>
            <w:tcW w:w="6236" w:type="dxa"/>
            <w:tcBorders/>
            <w:shd w:color="auto" w:fill="auto" w:val="clear"/>
          </w:tcPr>
          <w:p>
            <w:pPr>
              <w:pStyle w:val="Normal"/>
              <w:tabs>
                <w:tab w:val="left" w:pos="3969" w:leader="none"/>
              </w:tabs>
              <w:rPr>
                <w:sz w:val="24"/>
                <w:szCs w:val="24"/>
              </w:rPr>
            </w:pPr>
            <w:r>
              <w:rPr>
                <w:sz w:val="24"/>
                <w:szCs w:val="24"/>
              </w:rPr>
              <w:t>1 l HDPE fľaša</w:t>
            </w:r>
          </w:p>
          <w:p>
            <w:pPr>
              <w:pStyle w:val="Normal"/>
              <w:tabs>
                <w:tab w:val="left" w:pos="3969" w:leader="none"/>
              </w:tabs>
              <w:rPr>
                <w:sz w:val="24"/>
                <w:szCs w:val="24"/>
              </w:rPr>
            </w:pPr>
            <w:r>
              <w:rPr>
                <w:sz w:val="24"/>
                <w:szCs w:val="24"/>
              </w:rPr>
              <w:t xml:space="preserve">1 l COEX/PA fľaša </w:t>
            </w:r>
          </w:p>
          <w:p>
            <w:pPr>
              <w:pStyle w:val="Normal"/>
              <w:tabs>
                <w:tab w:val="left" w:pos="3969" w:leader="none"/>
              </w:tabs>
              <w:rPr>
                <w:sz w:val="24"/>
                <w:szCs w:val="24"/>
              </w:rPr>
            </w:pPr>
            <w:r>
              <w:rPr>
                <w:sz w:val="24"/>
                <w:szCs w:val="24"/>
              </w:rPr>
              <w:t>5 l, 10 l a 20 l HDPE kanister</w:t>
            </w:r>
          </w:p>
          <w:p>
            <w:pPr>
              <w:pStyle w:val="Normal"/>
              <w:tabs>
                <w:tab w:val="left" w:pos="3969" w:leader="none"/>
              </w:tabs>
              <w:rPr>
                <w:sz w:val="24"/>
                <w:szCs w:val="24"/>
              </w:rPr>
            </w:pPr>
            <w:r>
              <w:rPr>
                <w:sz w:val="24"/>
                <w:szCs w:val="24"/>
              </w:rPr>
              <w:t>5 l, 10 l a 20 l COEX/PA kanister</w:t>
            </w:r>
          </w:p>
        </w:tc>
      </w:tr>
      <w:tr>
        <w:trPr/>
        <w:tc>
          <w:tcPr>
            <w:tcW w:w="3686" w:type="dxa"/>
            <w:tcBorders/>
            <w:shd w:color="auto" w:fill="auto" w:val="clear"/>
          </w:tcPr>
          <w:p>
            <w:pPr>
              <w:pStyle w:val="Normal"/>
              <w:tabs>
                <w:tab w:val="left" w:pos="3969" w:leader="none"/>
              </w:tabs>
              <w:rPr>
                <w:bCs/>
                <w:sz w:val="24"/>
                <w:szCs w:val="24"/>
              </w:rPr>
            </w:pPr>
            <w:r>
              <w:rPr>
                <w:bCs/>
                <w:sz w:val="24"/>
                <w:szCs w:val="24"/>
              </w:rPr>
            </w:r>
          </w:p>
        </w:tc>
        <w:tc>
          <w:tcPr>
            <w:tcW w:w="6236" w:type="dxa"/>
            <w:tcBorders/>
            <w:shd w:color="auto" w:fill="auto" w:val="clear"/>
          </w:tcPr>
          <w:p>
            <w:pPr>
              <w:pStyle w:val="Normal"/>
              <w:tabs>
                <w:tab w:val="left" w:pos="3969" w:leader="none"/>
              </w:tabs>
              <w:rPr>
                <w:sz w:val="24"/>
                <w:szCs w:val="24"/>
              </w:rPr>
            </w:pPr>
            <w:r>
              <w:rPr>
                <w:sz w:val="24"/>
                <w:szCs w:val="24"/>
              </w:rPr>
            </w:r>
          </w:p>
        </w:tc>
      </w:tr>
      <w:tr>
        <w:trPr/>
        <w:tc>
          <w:tcPr>
            <w:tcW w:w="3686" w:type="dxa"/>
            <w:tcBorders/>
            <w:shd w:color="auto" w:fill="auto" w:val="clear"/>
          </w:tcPr>
          <w:p>
            <w:pPr>
              <w:pStyle w:val="Normal"/>
              <w:rPr>
                <w:b/>
                <w:b/>
                <w:bCs/>
                <w:sz w:val="24"/>
                <w:szCs w:val="24"/>
              </w:rPr>
            </w:pPr>
            <w:r>
              <w:rPr>
                <w:b/>
                <w:bCs/>
                <w:sz w:val="24"/>
                <w:szCs w:val="24"/>
              </w:rPr>
              <w:t>Doba použiteľnosti</w:t>
            </w:r>
            <w:r>
              <w:rPr>
                <w:sz w:val="24"/>
                <w:szCs w:val="24"/>
              </w:rPr>
              <w:t>:</w:t>
              <w:tab/>
            </w:r>
          </w:p>
        </w:tc>
        <w:tc>
          <w:tcPr>
            <w:tcW w:w="6236" w:type="dxa"/>
            <w:tcBorders/>
            <w:shd w:color="auto" w:fill="auto" w:val="clear"/>
          </w:tcPr>
          <w:p>
            <w:pPr>
              <w:pStyle w:val="Normal"/>
              <w:rPr>
                <w:bCs/>
                <w:sz w:val="24"/>
                <w:szCs w:val="24"/>
              </w:rPr>
            </w:pPr>
            <w:r>
              <w:rPr>
                <w:sz w:val="24"/>
                <w:szCs w:val="24"/>
              </w:rPr>
              <w:t>2 roky od dátumu výroby</w:t>
            </w:r>
          </w:p>
        </w:tc>
      </w:tr>
    </w:tbl>
    <w:p>
      <w:pPr>
        <w:pStyle w:val="Normal"/>
        <w:jc w:val="both"/>
        <w:rPr>
          <w:sz w:val="24"/>
          <w:szCs w:val="24"/>
        </w:rPr>
      </w:pPr>
      <w:r>
        <w:rPr>
          <w:sz w:val="24"/>
          <w:szCs w:val="24"/>
        </w:rPr>
      </w:r>
    </w:p>
    <w:p>
      <w:pPr>
        <w:pStyle w:val="Normal"/>
        <w:jc w:val="both"/>
        <w:rPr>
          <w:sz w:val="24"/>
          <w:szCs w:val="24"/>
        </w:rPr>
      </w:pPr>
      <w:r>
        <w:rPr>
          <w:sz w:val="24"/>
          <w:szCs w:val="24"/>
        </w:rPr>
        <w:t>Informačná služba firmy Dow AgroSciences (+421) 02/5443 5863.</w:t>
      </w:r>
    </w:p>
    <w:p>
      <w:pPr>
        <w:pStyle w:val="NormalIndent"/>
        <w:ind w:left="0" w:hanging="0"/>
        <w:rPr>
          <w:sz w:val="24"/>
          <w:szCs w:val="24"/>
          <w:lang w:val="sk-SK"/>
        </w:rPr>
      </w:pPr>
      <w:r>
        <w:rPr>
          <w:sz w:val="24"/>
          <w:szCs w:val="24"/>
          <w:lang w:val="sk-SK"/>
        </w:rPr>
      </w:r>
    </w:p>
    <w:p>
      <w:pPr>
        <w:pStyle w:val="NormalIndent"/>
        <w:ind w:left="0" w:hanging="0"/>
        <w:rPr>
          <w:sz w:val="24"/>
          <w:szCs w:val="24"/>
          <w:lang w:val="sk-SK"/>
        </w:rPr>
      </w:pPr>
      <w:r>
        <w:rPr>
          <w:sz w:val="24"/>
          <w:szCs w:val="24"/>
          <w:lang w:val="sk-SK"/>
        </w:rPr>
      </w:r>
    </w:p>
    <w:p>
      <w:pPr>
        <w:pStyle w:val="NormalIndent"/>
        <w:ind w:left="0" w:hanging="0"/>
        <w:rPr>
          <w:b/>
          <w:b/>
          <w:sz w:val="24"/>
          <w:szCs w:val="24"/>
          <w:lang w:val="sk-SK"/>
        </w:rPr>
      </w:pPr>
      <w:r>
        <w:rPr>
          <w:b/>
          <w:sz w:val="24"/>
          <w:szCs w:val="24"/>
          <w:lang w:val="sk-SK"/>
        </w:rPr>
        <w:t>PÔSOBENIE PRÍPRAVKU</w:t>
      </w:r>
    </w:p>
    <w:p>
      <w:pPr>
        <w:pStyle w:val="NormalIndent"/>
        <w:ind w:left="0" w:hanging="0"/>
        <w:jc w:val="both"/>
        <w:rPr>
          <w:sz w:val="24"/>
          <w:szCs w:val="24"/>
          <w:lang w:val="sk-SK"/>
        </w:rPr>
      </w:pPr>
      <w:r>
        <w:rPr>
          <w:sz w:val="24"/>
          <w:szCs w:val="24"/>
          <w:lang w:val="sk-SK"/>
        </w:rPr>
        <w:t xml:space="preserve">FIXATOR je prijímaný zelenými časťami rastlín a je rýchlo rozvádzaný do meristematických pletív rastliny. Spomaľuje predlžovanie internódií. Spomalenie rastu spôsobuje zníženie výšky rastliny a zvyšuje tak odolnosť proti poliehaniu. Účinná látka patrí do skupiny cyclohexanedionových derivátov, redukuje hladinu giberelínov čím dochádza k spomaleniu rastu rastlín. </w:t>
      </w:r>
    </w:p>
    <w:p>
      <w:pPr>
        <w:pStyle w:val="Normal"/>
        <w:spacing w:lineRule="atLeast" w:line="240"/>
        <w:ind w:right="-1" w:hanging="0"/>
        <w:rPr>
          <w:b/>
          <w:b/>
          <w:sz w:val="24"/>
          <w:szCs w:val="24"/>
        </w:rPr>
      </w:pPr>
      <w:r>
        <w:rPr>
          <w:b/>
          <w:sz w:val="24"/>
          <w:szCs w:val="24"/>
        </w:rPr>
      </w:r>
    </w:p>
    <w:p>
      <w:pPr>
        <w:pStyle w:val="Normal"/>
        <w:spacing w:lineRule="atLeast" w:line="240"/>
        <w:ind w:right="-1" w:hanging="0"/>
        <w:rPr>
          <w:b/>
          <w:b/>
          <w:sz w:val="24"/>
          <w:szCs w:val="24"/>
        </w:rPr>
      </w:pPr>
      <w:r>
        <w:rPr>
          <w:b/>
          <w:sz w:val="24"/>
          <w:szCs w:val="24"/>
        </w:rPr>
        <w:t>NÁVOD NA POUŽITIE</w:t>
      </w:r>
    </w:p>
    <w:tbl>
      <w:tblPr>
        <w:tblW w:w="99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2424"/>
        <w:gridCol w:w="2270"/>
        <w:gridCol w:w="1700"/>
        <w:gridCol w:w="1276"/>
        <w:gridCol w:w="2268"/>
      </w:tblGrid>
      <w:tr>
        <w:trPr>
          <w:tblHeader w:val="true"/>
          <w:trHeight w:val="450"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65" w:type="dxa"/>
            </w:tcMar>
            <w:vAlign w:val="center"/>
          </w:tcPr>
          <w:p>
            <w:pPr>
              <w:pStyle w:val="Normal"/>
              <w:rPr>
                <w:b/>
                <w:b/>
                <w:sz w:val="24"/>
                <w:szCs w:val="24"/>
              </w:rPr>
            </w:pPr>
            <w:r>
              <w:rPr>
                <w:b/>
                <w:sz w:val="24"/>
                <w:szCs w:val="24"/>
              </w:rPr>
              <w:t>Plodina</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65" w:type="dxa"/>
            </w:tcMar>
            <w:vAlign w:val="center"/>
          </w:tcPr>
          <w:p>
            <w:pPr>
              <w:pStyle w:val="Normal"/>
              <w:jc w:val="center"/>
              <w:rPr>
                <w:b/>
                <w:b/>
                <w:sz w:val="24"/>
                <w:szCs w:val="24"/>
              </w:rPr>
            </w:pPr>
            <w:r>
              <w:rPr>
                <w:b/>
                <w:sz w:val="24"/>
                <w:szCs w:val="24"/>
              </w:rPr>
              <w:t>Účel použitia</w:t>
            </w:r>
          </w:p>
        </w:tc>
        <w:tc>
          <w:tcPr>
            <w:tcW w:w="1700" w:type="dxa"/>
            <w:tcBorders>
              <w:top w:val="single" w:sz="4" w:space="0" w:color="00000A"/>
              <w:bottom w:val="single" w:sz="4" w:space="0" w:color="00000A"/>
              <w:right w:val="single" w:sz="4" w:space="0" w:color="00000A"/>
              <w:insideH w:val="single" w:sz="4" w:space="0" w:color="00000A"/>
              <w:insideV w:val="single" w:sz="4" w:space="0" w:color="00000A"/>
            </w:tcBorders>
            <w:shd w:color="auto" w:fill="E0E0E0" w:val="clear"/>
            <w:vAlign w:val="center"/>
          </w:tcPr>
          <w:p>
            <w:pPr>
              <w:pStyle w:val="Normal"/>
              <w:jc w:val="center"/>
              <w:rPr>
                <w:b/>
                <w:b/>
                <w:sz w:val="24"/>
                <w:szCs w:val="24"/>
              </w:rPr>
            </w:pPr>
            <w:r>
              <w:rPr>
                <w:b/>
                <w:sz w:val="24"/>
                <w:szCs w:val="24"/>
              </w:rPr>
              <w:t>Dávka / ha</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color="auto" w:fill="E0E0E0" w:val="clear"/>
            <w:vAlign w:val="center"/>
          </w:tcPr>
          <w:p>
            <w:pPr>
              <w:pStyle w:val="Normal"/>
              <w:ind w:right="-70" w:hanging="0"/>
              <w:jc w:val="center"/>
              <w:rPr>
                <w:b/>
                <w:b/>
                <w:sz w:val="24"/>
                <w:szCs w:val="24"/>
              </w:rPr>
            </w:pPr>
            <w:r>
              <w:rPr>
                <w:b/>
                <w:sz w:val="24"/>
                <w:szCs w:val="24"/>
              </w:rPr>
              <w:t>Ochranná</w:t>
            </w:r>
          </w:p>
          <w:p>
            <w:pPr>
              <w:pStyle w:val="Normal"/>
              <w:ind w:right="-70" w:hanging="0"/>
              <w:jc w:val="center"/>
              <w:rPr>
                <w:b/>
                <w:b/>
                <w:sz w:val="24"/>
                <w:szCs w:val="24"/>
              </w:rPr>
            </w:pPr>
            <w:r>
              <w:rPr>
                <w:b/>
                <w:sz w:val="24"/>
                <w:szCs w:val="24"/>
              </w:rPr>
              <w:t>doba</w:t>
            </w:r>
          </w:p>
        </w:tc>
        <w:tc>
          <w:tcPr>
            <w:tcW w:w="2268" w:type="dxa"/>
            <w:tcBorders>
              <w:top w:val="single" w:sz="4" w:space="0" w:color="00000A"/>
              <w:bottom w:val="single" w:sz="4" w:space="0" w:color="00000A"/>
              <w:right w:val="single" w:sz="4" w:space="0" w:color="00000A"/>
              <w:insideH w:val="single" w:sz="4" w:space="0" w:color="00000A"/>
              <w:insideV w:val="single" w:sz="4" w:space="0" w:color="00000A"/>
            </w:tcBorders>
            <w:shd w:color="auto" w:fill="E0E0E0" w:val="clear"/>
            <w:vAlign w:val="center"/>
          </w:tcPr>
          <w:p>
            <w:pPr>
              <w:pStyle w:val="Normal"/>
              <w:jc w:val="center"/>
              <w:rPr>
                <w:b/>
                <w:b/>
                <w:sz w:val="24"/>
                <w:szCs w:val="24"/>
              </w:rPr>
            </w:pPr>
            <w:r>
              <w:rPr>
                <w:b/>
                <w:sz w:val="24"/>
                <w:szCs w:val="24"/>
              </w:rPr>
              <w:t>Poznámka</w:t>
            </w:r>
          </w:p>
        </w:tc>
      </w:tr>
      <w:tr>
        <w:trPr>
          <w:trHeight w:val="274"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4"/>
                <w:szCs w:val="24"/>
                <w:lang w:val="sk-SK"/>
              </w:rPr>
            </w:pPr>
            <w:r>
              <w:rPr>
                <w:sz w:val="24"/>
                <w:szCs w:val="24"/>
                <w:lang w:val="sk-SK"/>
              </w:rPr>
              <w:t>pšenica ozimná, ovos, jačmeň jarný, raž</w:t>
            </w:r>
          </w:p>
        </w:tc>
        <w:tc>
          <w:tcPr>
            <w:tcW w:w="2270" w:type="dxa"/>
            <w:vMerge w:val="restart"/>
            <w:tcBorders>
              <w:top w:val="single" w:sz="4" w:space="0" w:color="00000A"/>
              <w:left w:val="single" w:sz="4" w:space="0" w:color="00000A"/>
              <w:right w:val="single" w:sz="4" w:space="0" w:color="00000A"/>
              <w:insideV w:val="single" w:sz="4" w:space="0" w:color="00000A"/>
            </w:tcBorders>
            <w:shd w:color="auto" w:fill="FFFFFF" w:val="clear"/>
            <w:tcMar>
              <w:left w:w="65" w:type="dxa"/>
            </w:tcMar>
            <w:vAlign w:val="center"/>
          </w:tcPr>
          <w:p>
            <w:pPr>
              <w:pStyle w:val="NormalIndent"/>
              <w:ind w:left="0" w:hanging="0"/>
              <w:jc w:val="center"/>
              <w:rPr>
                <w:sz w:val="24"/>
                <w:szCs w:val="24"/>
                <w:lang w:val="sk-SK"/>
              </w:rPr>
            </w:pPr>
            <w:r>
              <w:rPr>
                <w:sz w:val="24"/>
                <w:szCs w:val="24"/>
                <w:lang w:val="sk-SK"/>
              </w:rPr>
              <w:t>Regulácia rastu</w:t>
            </w:r>
          </w:p>
          <w:p>
            <w:pPr>
              <w:pStyle w:val="NormalIndent"/>
              <w:ind w:left="0" w:hanging="0"/>
              <w:jc w:val="center"/>
              <w:rPr>
                <w:sz w:val="24"/>
                <w:szCs w:val="24"/>
                <w:lang w:val="sk-SK"/>
              </w:rPr>
            </w:pPr>
            <w:r>
              <w:rPr>
                <w:sz w:val="24"/>
                <w:szCs w:val="24"/>
                <w:lang w:val="sk-SK"/>
              </w:rPr>
            </w:r>
          </w:p>
        </w:tc>
        <w:tc>
          <w:tcPr>
            <w:tcW w:w="1700"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Indent"/>
              <w:ind w:left="0" w:hanging="0"/>
              <w:jc w:val="center"/>
              <w:rPr>
                <w:sz w:val="24"/>
                <w:szCs w:val="24"/>
                <w:lang w:val="sk-SK"/>
              </w:rPr>
            </w:pPr>
            <w:r>
              <w:rPr>
                <w:sz w:val="24"/>
                <w:szCs w:val="24"/>
                <w:lang w:val="sk-SK"/>
              </w:rPr>
              <w:t>0,4 l</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Indent"/>
              <w:ind w:left="0" w:hanging="0"/>
              <w:jc w:val="center"/>
              <w:rPr>
                <w:sz w:val="24"/>
                <w:szCs w:val="24"/>
                <w:lang w:val="sk-SK"/>
              </w:rPr>
            </w:pPr>
            <w:r>
              <w:rPr>
                <w:sz w:val="24"/>
                <w:szCs w:val="24"/>
                <w:lang w:val="sk-SK"/>
              </w:rPr>
              <w:t>AT</w:t>
            </w:r>
          </w:p>
        </w:tc>
        <w:tc>
          <w:tcPr>
            <w:tcW w:w="2268"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Indent"/>
              <w:ind w:left="0" w:hanging="0"/>
              <w:jc w:val="center"/>
              <w:rPr>
                <w:sz w:val="24"/>
                <w:szCs w:val="24"/>
                <w:lang w:val="sk-SK"/>
              </w:rPr>
            </w:pPr>
            <w:r>
              <w:rPr>
                <w:sz w:val="24"/>
                <w:szCs w:val="24"/>
                <w:lang w:val="sk-SK"/>
              </w:rPr>
              <w:t>-</w:t>
            </w:r>
          </w:p>
        </w:tc>
      </w:tr>
      <w:tr>
        <w:trPr>
          <w:trHeight w:val="236" w:hRule="atLeast"/>
        </w:trPr>
        <w:tc>
          <w:tcPr>
            <w:tcW w:w="242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4"/>
                <w:szCs w:val="24"/>
                <w:lang w:val="sk-SK"/>
              </w:rPr>
            </w:pPr>
            <w:r>
              <w:rPr>
                <w:sz w:val="24"/>
                <w:szCs w:val="24"/>
                <w:lang w:val="sk-SK"/>
              </w:rPr>
              <w:t>jačmeň ozimný, tritikale</w:t>
            </w:r>
          </w:p>
        </w:tc>
        <w:tc>
          <w:tcPr>
            <w:tcW w:w="227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jc w:val="center"/>
              <w:rPr>
                <w:sz w:val="24"/>
                <w:szCs w:val="24"/>
                <w:lang w:val="sk-SK"/>
              </w:rPr>
            </w:pPr>
            <w:r>
              <w:rPr>
                <w:sz w:val="24"/>
                <w:szCs w:val="24"/>
                <w:lang w:val="sk-SK"/>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Indent"/>
              <w:ind w:left="0" w:hanging="0"/>
              <w:jc w:val="center"/>
              <w:rPr>
                <w:sz w:val="24"/>
                <w:szCs w:val="24"/>
                <w:lang w:val="sk-SK"/>
              </w:rPr>
            </w:pPr>
            <w:r>
              <w:rPr>
                <w:sz w:val="24"/>
                <w:szCs w:val="24"/>
                <w:lang w:val="sk-SK"/>
              </w:rPr>
              <w:t>0,6 l</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Indent"/>
              <w:ind w:left="0" w:hanging="0"/>
              <w:jc w:val="center"/>
              <w:rPr>
                <w:sz w:val="24"/>
                <w:szCs w:val="24"/>
                <w:lang w:val="sk-SK"/>
              </w:rPr>
            </w:pPr>
            <w:r>
              <w:rPr>
                <w:sz w:val="24"/>
                <w:szCs w:val="24"/>
                <w:lang w:val="sk-SK"/>
              </w:rPr>
              <w:t>AT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Indent"/>
              <w:ind w:left="0" w:hanging="0"/>
              <w:jc w:val="center"/>
              <w:rPr>
                <w:sz w:val="24"/>
                <w:szCs w:val="24"/>
                <w:lang w:val="sk-SK"/>
              </w:rPr>
            </w:pPr>
            <w:r>
              <w:rPr>
                <w:sz w:val="24"/>
                <w:szCs w:val="24"/>
                <w:lang w:val="sk-SK"/>
              </w:rPr>
              <w:t>-</w:t>
            </w:r>
          </w:p>
        </w:tc>
      </w:tr>
    </w:tbl>
    <w:p>
      <w:pPr>
        <w:pStyle w:val="NormalIndent"/>
        <w:ind w:left="0" w:hanging="0"/>
        <w:jc w:val="both"/>
        <w:rPr>
          <w:sz w:val="24"/>
          <w:szCs w:val="24"/>
          <w:lang w:val="sk-SK"/>
        </w:rPr>
      </w:pPr>
      <w:r>
        <w:rPr>
          <w:sz w:val="24"/>
          <w:szCs w:val="24"/>
          <w:lang w:val="sk-SK"/>
        </w:rPr>
      </w:r>
    </w:p>
    <w:p>
      <w:pPr>
        <w:pStyle w:val="NormalIndent"/>
        <w:ind w:left="0" w:hanging="0"/>
        <w:jc w:val="both"/>
        <w:rPr>
          <w:sz w:val="24"/>
          <w:szCs w:val="24"/>
          <w:lang w:val="sk-SK"/>
        </w:rPr>
      </w:pPr>
      <w:r>
        <w:rPr>
          <w:sz w:val="24"/>
          <w:szCs w:val="24"/>
          <w:lang w:val="sk-SK"/>
        </w:rPr>
      </w:r>
    </w:p>
    <w:p>
      <w:pPr>
        <w:pStyle w:val="NormalIndent"/>
        <w:ind w:left="0" w:hanging="0"/>
        <w:jc w:val="both"/>
        <w:rPr>
          <w:b/>
          <w:b/>
          <w:sz w:val="24"/>
          <w:szCs w:val="24"/>
        </w:rPr>
      </w:pPr>
      <w:r>
        <w:rPr>
          <w:b/>
          <w:sz w:val="24"/>
          <w:szCs w:val="24"/>
        </w:rPr>
        <w:t>POKYNY PRE APLIKÁCIU</w:t>
      </w:r>
    </w:p>
    <w:p>
      <w:pPr>
        <w:pStyle w:val="Normal"/>
        <w:spacing w:lineRule="atLeast" w:line="240"/>
        <w:ind w:right="-1" w:hanging="0"/>
        <w:jc w:val="both"/>
        <w:rPr>
          <w:sz w:val="24"/>
          <w:szCs w:val="24"/>
        </w:rPr>
      </w:pPr>
      <w:r>
        <w:rPr>
          <w:sz w:val="24"/>
          <w:szCs w:val="24"/>
        </w:rPr>
        <w:t>Dávka vody je 200-400 l/ha. </w:t>
      </w:r>
    </w:p>
    <w:p>
      <w:pPr>
        <w:pStyle w:val="Normal"/>
        <w:spacing w:lineRule="atLeast" w:line="240"/>
        <w:ind w:right="-1" w:hanging="0"/>
        <w:jc w:val="both"/>
        <w:rPr>
          <w:sz w:val="24"/>
          <w:szCs w:val="24"/>
        </w:rPr>
      </w:pPr>
      <w:r>
        <w:rPr>
          <w:sz w:val="24"/>
          <w:szCs w:val="24"/>
        </w:rPr>
        <w:t>Aplikujte maximálne 1x za vegetáciu.</w:t>
      </w:r>
    </w:p>
    <w:p>
      <w:pPr>
        <w:pStyle w:val="NormalIndent"/>
        <w:ind w:left="0" w:hanging="0"/>
        <w:jc w:val="both"/>
        <w:rPr>
          <w:b/>
          <w:b/>
          <w:sz w:val="24"/>
          <w:szCs w:val="24"/>
          <w:lang w:val="sk-SK"/>
        </w:rPr>
      </w:pPr>
      <w:r>
        <w:rPr>
          <w:b/>
          <w:sz w:val="24"/>
          <w:szCs w:val="24"/>
          <w:lang w:val="sk-SK"/>
        </w:rPr>
        <w:t>Prípravok neaplikujte na semenné porasty!</w:t>
      </w:r>
    </w:p>
    <w:p>
      <w:pPr>
        <w:pStyle w:val="NormalIndent"/>
        <w:ind w:left="0" w:hanging="0"/>
        <w:jc w:val="both"/>
        <w:rPr>
          <w:b/>
          <w:b/>
          <w:sz w:val="24"/>
          <w:szCs w:val="24"/>
          <w:lang w:val="sk-SK"/>
        </w:rPr>
      </w:pPr>
      <w:r>
        <w:rPr>
          <w:b/>
          <w:sz w:val="24"/>
          <w:szCs w:val="24"/>
          <w:lang w:val="sk-SK"/>
        </w:rPr>
        <w:t xml:space="preserve">Pšenica ozimná, tritikale: </w:t>
      </w:r>
    </w:p>
    <w:p>
      <w:pPr>
        <w:pStyle w:val="NormalIndent"/>
        <w:ind w:left="0" w:hanging="0"/>
        <w:jc w:val="both"/>
        <w:rPr>
          <w:b/>
          <w:b/>
          <w:sz w:val="24"/>
          <w:szCs w:val="24"/>
          <w:lang w:val="sk-SK"/>
        </w:rPr>
      </w:pPr>
      <w:r>
        <w:rPr>
          <w:sz w:val="24"/>
          <w:szCs w:val="24"/>
          <w:lang w:val="sk-SK"/>
        </w:rPr>
        <w:t>Prípravok FIXATOR aplikujte od objavenia sa 9. odnože (alebo ďalších odnoží) (BBCH 29), do rastovej fázy, kedy je zástavnicový list celkom vyvinutý (jazýček už viditeľný) (BBCH 39).</w:t>
      </w:r>
    </w:p>
    <w:p>
      <w:pPr>
        <w:pStyle w:val="NormalIndent"/>
        <w:ind w:left="0" w:hanging="0"/>
        <w:jc w:val="both"/>
        <w:rPr>
          <w:b/>
          <w:b/>
          <w:sz w:val="24"/>
          <w:szCs w:val="24"/>
          <w:lang w:val="sk-SK"/>
        </w:rPr>
      </w:pPr>
      <w:r>
        <w:rPr>
          <w:b/>
          <w:sz w:val="24"/>
          <w:szCs w:val="24"/>
          <w:lang w:val="sk-SK"/>
        </w:rPr>
      </w:r>
    </w:p>
    <w:p>
      <w:pPr>
        <w:pStyle w:val="NormalIndent"/>
        <w:ind w:left="0" w:hanging="0"/>
        <w:jc w:val="both"/>
        <w:rPr>
          <w:b/>
          <w:b/>
          <w:sz w:val="24"/>
          <w:szCs w:val="24"/>
          <w:lang w:val="sk-SK"/>
        </w:rPr>
      </w:pPr>
      <w:r>
        <w:rPr>
          <w:b/>
          <w:sz w:val="24"/>
          <w:szCs w:val="24"/>
          <w:lang w:val="sk-SK"/>
        </w:rPr>
        <w:t>Jačmeň ozimný, raž:</w:t>
      </w:r>
    </w:p>
    <w:p>
      <w:pPr>
        <w:pStyle w:val="NormalIndent"/>
        <w:ind w:left="0" w:hanging="0"/>
        <w:jc w:val="both"/>
        <w:rPr>
          <w:sz w:val="24"/>
          <w:szCs w:val="24"/>
          <w:lang w:val="sk-SK"/>
        </w:rPr>
      </w:pPr>
      <w:r>
        <w:rPr>
          <w:sz w:val="24"/>
          <w:szCs w:val="24"/>
          <w:lang w:val="sk-SK"/>
        </w:rPr>
        <w:t>Aplikujte od začiatku predlžovania stebla (odnože vzpriamené, 1. internódium sa začína predlžovať, vrchol klasu je min. 1 cm nad odnožovacím uzlom) (BBCH 30), do rastovej fázy, kedy je zástavnicový list celkom vyvinutý (jazýček už viditeľný) (BBCH 39).</w:t>
      </w:r>
    </w:p>
    <w:p>
      <w:pPr>
        <w:pStyle w:val="NormalIndent"/>
        <w:ind w:left="0" w:hanging="0"/>
        <w:jc w:val="both"/>
        <w:rPr>
          <w:b/>
          <w:b/>
          <w:sz w:val="24"/>
          <w:szCs w:val="24"/>
          <w:lang w:val="sk-SK"/>
        </w:rPr>
      </w:pPr>
      <w:r>
        <w:rPr>
          <w:b/>
          <w:sz w:val="24"/>
          <w:szCs w:val="24"/>
          <w:lang w:val="sk-SK"/>
        </w:rPr>
        <w:t>Jačmeň jarný, ovos:</w:t>
      </w:r>
    </w:p>
    <w:p>
      <w:pPr>
        <w:pStyle w:val="NormalIndent"/>
        <w:ind w:left="0" w:hanging="0"/>
        <w:jc w:val="both"/>
        <w:rPr>
          <w:sz w:val="24"/>
          <w:szCs w:val="24"/>
          <w:lang w:val="sk-SK"/>
        </w:rPr>
      </w:pPr>
      <w:r>
        <w:rPr>
          <w:sz w:val="24"/>
          <w:szCs w:val="24"/>
          <w:lang w:val="sk-SK"/>
        </w:rPr>
        <w:t>Aplikujte od začiatku predlžovania stebla ( odnože vzpriamené, 1. internódium sa začína predlžovať, vrchol klasu je min. 1 cm nad odnožovacím uzlom) (BBCH 30), do rastovej fázy, kedy je zástavnicový list už viditeľný (ešte stočený) (BBCH 37).</w:t>
      </w:r>
    </w:p>
    <w:p>
      <w:pPr>
        <w:pStyle w:val="NormalIndent"/>
        <w:ind w:left="0" w:hanging="0"/>
        <w:jc w:val="both"/>
        <w:rPr>
          <w:b/>
          <w:b/>
          <w:sz w:val="24"/>
          <w:szCs w:val="24"/>
          <w:lang w:val="sk-SK"/>
        </w:rPr>
      </w:pPr>
      <w:r>
        <w:rPr>
          <w:b/>
          <w:sz w:val="24"/>
          <w:szCs w:val="24"/>
          <w:lang w:val="sk-SK"/>
        </w:rPr>
      </w:r>
    </w:p>
    <w:p>
      <w:pPr>
        <w:pStyle w:val="Normal"/>
        <w:ind w:right="-1" w:hanging="0"/>
        <w:jc w:val="both"/>
        <w:rPr>
          <w:b/>
          <w:b/>
          <w:sz w:val="24"/>
          <w:szCs w:val="24"/>
        </w:rPr>
      </w:pPr>
      <w:r>
        <w:rPr>
          <w:b/>
          <w:sz w:val="24"/>
          <w:szCs w:val="24"/>
        </w:rPr>
        <w:t>INFORMÁCIE O MOŽNEJ FYTOTOXICITE, ODRODOVEJ CITLIVOSTI A VŠETKÝCH  ĎAĽŠÍCH PRIAMYCH A  NEPRIAMYCH NEPRIAZNIVÝCH ÚČINKOCH NA RASTLINY ALEBO RASTLINNÉ PRODUKTY</w:t>
      </w:r>
    </w:p>
    <w:p>
      <w:pPr>
        <w:pStyle w:val="Normal"/>
        <w:ind w:right="-1" w:hanging="0"/>
        <w:jc w:val="both"/>
        <w:rPr>
          <w:sz w:val="24"/>
          <w:szCs w:val="24"/>
        </w:rPr>
      </w:pPr>
      <w:r>
        <w:rPr>
          <w:sz w:val="24"/>
          <w:szCs w:val="24"/>
        </w:rPr>
        <w:t>Prípravok nie je určený pre ošetrenie  semenných porastov. Pokiaľ je prípravok aplikovaný v súlade s etiketou a návodom na použitie, je tolerantný k ošetrovaným plodinám.</w:t>
      </w:r>
      <w:r>
        <w:rPr>
          <w:rStyle w:val="Annotationreference"/>
        </w:rPr>
        <w:t xml:space="preserve"> </w:t>
      </w:r>
      <w:r>
        <w:rPr>
          <w:rStyle w:val="Annotationreference"/>
          <w:sz w:val="24"/>
          <w:szCs w:val="24"/>
        </w:rPr>
        <w:t>Dočasné prejavy fytotoxicity nie je možné vylúčiť.</w:t>
      </w:r>
      <w:r>
        <w:rPr>
          <w:sz w:val="24"/>
          <w:szCs w:val="24"/>
        </w:rPr>
        <w:t xml:space="preserve"> FIXATOR nesmie byť použitý na stresované porasty a porasty poškodené suchom, mrazom, chorobami, škodcami a pod. Ošetrujte len pri vhodných podmienkach. Pri vysokých teplotách môžu byť citlivé plodiny poškodené aj výparmi prípravku!</w:t>
      </w:r>
    </w:p>
    <w:p>
      <w:pPr>
        <w:pStyle w:val="Normal"/>
        <w:ind w:right="-1" w:hanging="0"/>
        <w:jc w:val="both"/>
        <w:rPr>
          <w:sz w:val="24"/>
          <w:szCs w:val="24"/>
        </w:rPr>
      </w:pPr>
      <w:r>
        <w:rPr>
          <w:sz w:val="24"/>
          <w:szCs w:val="24"/>
        </w:rPr>
      </w:r>
    </w:p>
    <w:p>
      <w:pPr>
        <w:pStyle w:val="Normal"/>
        <w:ind w:right="-1" w:hanging="0"/>
        <w:jc w:val="both"/>
        <w:rPr>
          <w:b/>
          <w:b/>
          <w:sz w:val="24"/>
          <w:szCs w:val="24"/>
        </w:rPr>
      </w:pPr>
      <w:r>
        <w:rPr>
          <w:b/>
          <w:sz w:val="24"/>
          <w:szCs w:val="24"/>
        </w:rPr>
        <w:t>VPLYV NA ÚRODU</w:t>
      </w:r>
    </w:p>
    <w:p>
      <w:pPr>
        <w:pStyle w:val="Normal"/>
        <w:ind w:right="-1" w:hanging="0"/>
        <w:jc w:val="both"/>
        <w:rPr>
          <w:sz w:val="24"/>
          <w:szCs w:val="24"/>
        </w:rPr>
      </w:pPr>
      <w:r>
        <w:rPr>
          <w:sz w:val="24"/>
          <w:szCs w:val="24"/>
        </w:rPr>
        <w:t>Aplikácia prípravku v súlade s návodom na použitie nemá negatívny vplyv na úrodu.</w:t>
      </w:r>
    </w:p>
    <w:p>
      <w:pPr>
        <w:pStyle w:val="Normal"/>
        <w:ind w:right="-1" w:hanging="0"/>
        <w:jc w:val="both"/>
        <w:rPr>
          <w:b/>
          <w:b/>
          <w:sz w:val="24"/>
          <w:szCs w:val="24"/>
        </w:rPr>
      </w:pPr>
      <w:r>
        <w:rPr>
          <w:b/>
          <w:sz w:val="24"/>
          <w:szCs w:val="24"/>
        </w:rPr>
      </w:r>
    </w:p>
    <w:p>
      <w:pPr>
        <w:pStyle w:val="Normal"/>
        <w:ind w:right="-1" w:hanging="0"/>
        <w:jc w:val="both"/>
        <w:rPr>
          <w:b/>
          <w:b/>
          <w:sz w:val="24"/>
          <w:szCs w:val="24"/>
        </w:rPr>
      </w:pPr>
      <w:r>
        <w:rPr>
          <w:b/>
          <w:sz w:val="24"/>
          <w:szCs w:val="24"/>
        </w:rPr>
        <w:t>VPLYV NA NÁSLEDNÉ, NÁHRADNÉ A SUSEDIACE PLODINY</w:t>
      </w:r>
    </w:p>
    <w:p>
      <w:pPr>
        <w:pStyle w:val="Normal"/>
        <w:ind w:right="-1" w:hanging="0"/>
        <w:jc w:val="both"/>
        <w:rPr>
          <w:sz w:val="24"/>
          <w:szCs w:val="24"/>
        </w:rPr>
      </w:pPr>
      <w:r>
        <w:rPr>
          <w:sz w:val="24"/>
          <w:szCs w:val="24"/>
        </w:rPr>
        <w:t>Postrekom alebo výparom nesmú byť zasiahnuté susedné porasty.</w:t>
      </w:r>
    </w:p>
    <w:p>
      <w:pPr>
        <w:pStyle w:val="Normal"/>
        <w:ind w:right="-1" w:hanging="0"/>
        <w:jc w:val="both"/>
        <w:rPr>
          <w:b/>
          <w:b/>
          <w:sz w:val="24"/>
          <w:szCs w:val="24"/>
        </w:rPr>
      </w:pPr>
      <w:r>
        <w:rPr>
          <w:b/>
          <w:sz w:val="24"/>
          <w:szCs w:val="24"/>
        </w:rPr>
      </w:r>
    </w:p>
    <w:p>
      <w:pPr>
        <w:pStyle w:val="Normal"/>
        <w:ind w:right="-1" w:hanging="0"/>
        <w:jc w:val="both"/>
        <w:rPr>
          <w:b/>
          <w:b/>
          <w:caps/>
          <w:sz w:val="24"/>
          <w:szCs w:val="24"/>
        </w:rPr>
      </w:pPr>
      <w:r>
        <w:rPr>
          <w:b/>
          <w:caps/>
          <w:sz w:val="24"/>
          <w:szCs w:val="24"/>
        </w:rPr>
        <w:t>Vplyv na užitočné a iné  NECIEĽOVÉ organizmy</w:t>
      </w:r>
    </w:p>
    <w:p>
      <w:pPr>
        <w:pStyle w:val="Normal"/>
        <w:ind w:right="-1" w:hanging="0"/>
        <w:jc w:val="both"/>
        <w:rPr>
          <w:sz w:val="24"/>
          <w:szCs w:val="24"/>
        </w:rPr>
      </w:pPr>
      <w:r>
        <w:rPr>
          <w:sz w:val="24"/>
          <w:szCs w:val="24"/>
        </w:rPr>
        <w:t>Prípravok je regulátor rastu. Riziko vyplývajúce z použitia prípravku pri dodržaní predpísanej dávky alebo koncentrácie je  prijateľné.</w:t>
      </w:r>
    </w:p>
    <w:p>
      <w:pPr>
        <w:pStyle w:val="NormalIndent"/>
        <w:ind w:left="0" w:hanging="0"/>
        <w:jc w:val="both"/>
        <w:rPr>
          <w:sz w:val="24"/>
          <w:szCs w:val="24"/>
          <w:lang w:val="sk-SK"/>
        </w:rPr>
      </w:pPr>
      <w:r>
        <w:rPr>
          <w:sz w:val="24"/>
          <w:szCs w:val="24"/>
          <w:lang w:val="sk-SK"/>
        </w:rPr>
      </w:r>
    </w:p>
    <w:p>
      <w:pPr>
        <w:pStyle w:val="Normal"/>
        <w:jc w:val="both"/>
        <w:rPr>
          <w:sz w:val="24"/>
          <w:szCs w:val="24"/>
        </w:rPr>
      </w:pPr>
      <w:r>
        <w:rPr>
          <w:b/>
          <w:sz w:val="24"/>
          <w:szCs w:val="24"/>
        </w:rPr>
        <w:t>PRÍPRAVA POSTREKOVEJ KVAPALINY A ZNEŠKODNENIE OBALOV</w:t>
      </w:r>
    </w:p>
    <w:p>
      <w:pPr>
        <w:pStyle w:val="Normal"/>
        <w:jc w:val="both"/>
        <w:rPr>
          <w:sz w:val="24"/>
          <w:szCs w:val="24"/>
        </w:rPr>
      </w:pPr>
      <w:r>
        <w:rPr>
          <w:sz w:val="24"/>
          <w:szCs w:val="24"/>
        </w:rPr>
        <w:t>Odmerané množstvo prípravku vlejte do nádrže postrekovača naplnenej do polovice vodou a za stáleho miešania doplňte na požadovaný objem. Prázdny obal z tohto prípravku vypláchnite vodou a to buď ručne (3 krát po sebe) alebo v primiešavacom zariadení, ktoré je súčasťou postrekovača. Výplachovú vodu vlejte do nádrže postrekovača a obal odovzdajte vášmu zmluvnému subjektu, ktorý má oprávnenie na zber a zneškodňovanie prázdnych obalov . Pripravte len také množstvo postrekovej kvapaliny, ktoré spotrebujete. Zákaz opätovného použitia obalu alebo jeho použitia na iné účely!</w:t>
      </w:r>
    </w:p>
    <w:p>
      <w:pPr>
        <w:pStyle w:val="Normal"/>
        <w:jc w:val="both"/>
        <w:rPr>
          <w:sz w:val="24"/>
          <w:szCs w:val="24"/>
        </w:rPr>
      </w:pPr>
      <w:r>
        <w:rPr>
          <w:sz w:val="24"/>
          <w:szCs w:val="24"/>
        </w:rPr>
      </w:r>
    </w:p>
    <w:p>
      <w:pPr>
        <w:pStyle w:val="Normal"/>
        <w:spacing w:lineRule="atLeast" w:line="240"/>
        <w:jc w:val="both"/>
        <w:rPr>
          <w:b/>
          <w:b/>
          <w:sz w:val="24"/>
          <w:szCs w:val="24"/>
        </w:rPr>
      </w:pPr>
      <w:r>
        <w:rPr>
          <w:b/>
          <w:sz w:val="24"/>
          <w:szCs w:val="24"/>
        </w:rPr>
        <w:t>ČISTENIE APLIKAČNÉHO ZARIADENIA</w:t>
      </w:r>
    </w:p>
    <w:p>
      <w:pPr>
        <w:pStyle w:val="Normal"/>
        <w:spacing w:lineRule="atLeast" w:line="240"/>
        <w:ind w:left="284" w:hanging="284"/>
        <w:jc w:val="both"/>
        <w:rPr>
          <w:sz w:val="24"/>
          <w:szCs w:val="24"/>
        </w:rPr>
      </w:pPr>
      <w:r>
        <w:rPr>
          <w:sz w:val="24"/>
          <w:szCs w:val="24"/>
        </w:rPr>
        <w:t>1. Ihneď po skončení aplikácie vypláchnite postrekovač čistou vodou.</w:t>
      </w:r>
    </w:p>
    <w:p>
      <w:pPr>
        <w:pStyle w:val="Normal"/>
        <w:spacing w:lineRule="atLeast" w:line="240"/>
        <w:ind w:left="284" w:hanging="284"/>
        <w:jc w:val="both"/>
        <w:rPr>
          <w:sz w:val="24"/>
          <w:szCs w:val="24"/>
        </w:rPr>
      </w:pPr>
      <w:r>
        <w:rPr>
          <w:sz w:val="24"/>
          <w:szCs w:val="24"/>
        </w:rPr>
        <w:t>2. Napustite postrekovač min. do ¼ objemu nádrže čistou vodou a vypláchnite.</w:t>
      </w:r>
    </w:p>
    <w:p>
      <w:pPr>
        <w:pStyle w:val="Normal"/>
        <w:spacing w:lineRule="atLeast" w:line="240"/>
        <w:ind w:left="284" w:hanging="284"/>
        <w:jc w:val="both"/>
        <w:rPr>
          <w:sz w:val="24"/>
          <w:szCs w:val="24"/>
        </w:rPr>
      </w:pPr>
      <w:r>
        <w:rPr>
          <w:sz w:val="24"/>
          <w:szCs w:val="24"/>
        </w:rPr>
        <w:t>3. Postup opakujte ešte raz. V prípade použitia čistiacich prostriedkov postupujte podľa návodu na ich použitie.</w:t>
      </w:r>
    </w:p>
    <w:p>
      <w:pPr>
        <w:pStyle w:val="Normal"/>
        <w:spacing w:lineRule="atLeast" w:line="240"/>
        <w:ind w:left="284" w:hanging="284"/>
        <w:jc w:val="both"/>
        <w:rPr>
          <w:sz w:val="24"/>
          <w:szCs w:val="24"/>
        </w:rPr>
      </w:pPr>
      <w:r>
        <w:rPr>
          <w:sz w:val="24"/>
          <w:szCs w:val="24"/>
        </w:rPr>
        <w:t xml:space="preserve">4. Trysky a sitká musia byť očistené samostatne. </w:t>
      </w:r>
    </w:p>
    <w:p>
      <w:pPr>
        <w:pStyle w:val="Normal"/>
        <w:jc w:val="both"/>
        <w:rPr>
          <w:sz w:val="24"/>
          <w:szCs w:val="24"/>
        </w:rPr>
      </w:pPr>
      <w:r>
        <w:rPr>
          <w:sz w:val="24"/>
          <w:szCs w:val="24"/>
        </w:rPr>
      </w:r>
    </w:p>
    <w:p>
      <w:pPr>
        <w:pStyle w:val="Normal"/>
        <w:ind w:right="-1" w:hanging="0"/>
        <w:jc w:val="both"/>
        <w:rPr>
          <w:b/>
          <w:b/>
          <w:sz w:val="24"/>
          <w:szCs w:val="24"/>
        </w:rPr>
      </w:pPr>
      <w:r>
        <w:rPr>
          <w:b/>
          <w:sz w:val="24"/>
          <w:szCs w:val="24"/>
        </w:rPr>
        <w:t>BEZPEČNOSTNÉ OPATRENIA</w:t>
      </w:r>
    </w:p>
    <w:p>
      <w:pPr>
        <w:pStyle w:val="Normal"/>
        <w:ind w:right="-1" w:hanging="0"/>
        <w:jc w:val="both"/>
        <w:rPr>
          <w:b/>
          <w:b/>
          <w:sz w:val="24"/>
          <w:szCs w:val="24"/>
          <w:lang w:eastAsia="zh-CN"/>
        </w:rPr>
      </w:pPr>
      <w:r>
        <w:rPr>
          <w:sz w:val="24"/>
          <w:szCs w:val="24"/>
        </w:rPr>
        <w:t xml:space="preserve">Pri príprave aplikačnej kvapaliny používajte </w:t>
      </w:r>
      <w:r>
        <w:rPr>
          <w:b/>
          <w:sz w:val="24"/>
          <w:szCs w:val="24"/>
          <w:lang w:eastAsia="zh-CN"/>
        </w:rPr>
        <w:t xml:space="preserve">filtračnú polomasku (FFP1 alebo FFP2), </w:t>
      </w:r>
      <w:r>
        <w:rPr>
          <w:b/>
          <w:sz w:val="24"/>
          <w:szCs w:val="24"/>
        </w:rPr>
        <w:t xml:space="preserve">gumové nebo plastové rukavice označené piktogramom pre chemické nebezpečenstvo, </w:t>
      </w:r>
      <w:r>
        <w:rPr>
          <w:b/>
          <w:sz w:val="24"/>
          <w:szCs w:val="24"/>
          <w:lang w:eastAsia="zh-CN"/>
        </w:rPr>
        <w:t>ochranný pracovný odev</w:t>
      </w:r>
      <w:r>
        <w:rPr>
          <w:b/>
        </w:rPr>
        <w:t xml:space="preserve">, </w:t>
      </w:r>
      <w:r>
        <w:rPr>
          <w:b/>
          <w:sz w:val="24"/>
          <w:szCs w:val="24"/>
        </w:rPr>
        <w:t xml:space="preserve">gumovú alebo plastovú zásteru </w:t>
      </w:r>
      <w:r>
        <w:rPr>
          <w:b/>
          <w:sz w:val="24"/>
          <w:szCs w:val="24"/>
          <w:lang w:eastAsia="zh-CN"/>
        </w:rPr>
        <w:t>alebo zásteru z pogumovaného textilu</w:t>
      </w:r>
      <w:r>
        <w:rPr>
          <w:b/>
          <w:sz w:val="24"/>
          <w:szCs w:val="24"/>
        </w:rPr>
        <w:t xml:space="preserve"> a gumové čižmy</w:t>
      </w:r>
      <w:r>
        <w:rPr>
          <w:sz w:val="24"/>
          <w:szCs w:val="24"/>
        </w:rPr>
        <w:t>.</w:t>
      </w:r>
      <w:r>
        <w:rPr/>
        <w:t xml:space="preserve"> </w:t>
      </w:r>
      <w:r>
        <w:rPr>
          <w:sz w:val="24"/>
          <w:szCs w:val="24"/>
          <w:lang w:eastAsia="zh-CN"/>
        </w:rPr>
        <w:t xml:space="preserve">Pri práci používajte </w:t>
      </w:r>
      <w:r>
        <w:rPr>
          <w:b/>
          <w:sz w:val="24"/>
          <w:szCs w:val="24"/>
          <w:lang w:eastAsia="zh-CN"/>
        </w:rPr>
        <w:t>ochranný</w:t>
      </w:r>
      <w:r>
        <w:rPr>
          <w:sz w:val="24"/>
          <w:szCs w:val="24"/>
          <w:lang w:eastAsia="zh-CN"/>
        </w:rPr>
        <w:t xml:space="preserve"> </w:t>
      </w:r>
      <w:r>
        <w:rPr>
          <w:b/>
          <w:sz w:val="24"/>
          <w:szCs w:val="24"/>
          <w:lang w:eastAsia="zh-CN"/>
        </w:rPr>
        <w:t xml:space="preserve">pracovný odev, filtračnú polomasku (FFP1 alebo FFP2) alebo respirátor proti výparom, </w:t>
      </w:r>
      <w:r>
        <w:rPr>
          <w:b/>
          <w:sz w:val="24"/>
          <w:szCs w:val="24"/>
        </w:rPr>
        <w:t>gumové nebo plastové rukavice označené piktogramom pre chemické nebezpečenstvo</w:t>
      </w:r>
      <w:r>
        <w:rPr>
          <w:b/>
          <w:sz w:val="24"/>
          <w:szCs w:val="24"/>
          <w:lang w:eastAsia="zh-CN"/>
        </w:rPr>
        <w:t xml:space="preserve"> a gumové </w:t>
      </w:r>
      <w:r>
        <w:rPr>
          <w:b/>
          <w:sz w:val="24"/>
          <w:szCs w:val="24"/>
        </w:rPr>
        <w:t>čižmy</w:t>
      </w:r>
      <w:r>
        <w:rPr>
          <w:b/>
          <w:sz w:val="24"/>
          <w:szCs w:val="24"/>
          <w:lang w:eastAsia="zh-CN"/>
        </w:rPr>
        <w:t xml:space="preserve">. </w:t>
      </w:r>
    </w:p>
    <w:p>
      <w:pPr>
        <w:pStyle w:val="Normal"/>
        <w:ind w:right="-1" w:hanging="0"/>
        <w:jc w:val="both"/>
        <w:rPr>
          <w:sz w:val="24"/>
          <w:szCs w:val="24"/>
        </w:rPr>
      </w:pPr>
      <w:r>
        <w:rPr>
          <w:sz w:val="24"/>
          <w:szCs w:val="24"/>
        </w:rPr>
        <w:t xml:space="preserve">Pri príprave aplikačnej kvapaliny ani pri realizovaní postreku, nepoužívajte kontaktné čočky. </w:t>
      </w:r>
    </w:p>
    <w:p>
      <w:pPr>
        <w:pStyle w:val="Normal"/>
        <w:ind w:right="-1" w:hanging="0"/>
        <w:jc w:val="both"/>
        <w:rPr>
          <w:sz w:val="24"/>
          <w:szCs w:val="24"/>
        </w:rPr>
      </w:pPr>
      <w:r>
        <w:rPr>
          <w:sz w:val="24"/>
          <w:szCs w:val="24"/>
        </w:rPr>
        <w:t xml:space="preserve">Postrek vykonávajte len za bezvetria alebo mierného vánku, v smere po vetre a od ďalších osôb. Počas práce s prípravkom a po nej, až do vyzlečenia pracovného odevu a umytia celého tela mydlom a vodou, je zakázané piť, jesť a fajčiť. Práca s prípravkom je zakázaná pre tehotné a kojace ženy a pre mladistvých. Práca s prípravkom nie je vhodná pre alergické osoby. </w:t>
      </w:r>
    </w:p>
    <w:p>
      <w:pPr>
        <w:pStyle w:val="Normal"/>
        <w:jc w:val="both"/>
        <w:rPr>
          <w:sz w:val="24"/>
          <w:szCs w:val="24"/>
        </w:rPr>
      </w:pPr>
      <w:r>
        <w:rPr>
          <w:sz w:val="24"/>
          <w:szCs w:val="24"/>
        </w:rPr>
        <w:t>Postrekujte za bezvetria alebo pri miernom vánku, vždy v smere od obsluhy. Postrekom nesmú byť zasiahnuté susedné citlivé plodiny. Opätovný vstup na pozemok ošetrený prípravkom je možný až druhý deň po aplikácii.</w:t>
      </w:r>
    </w:p>
    <w:p>
      <w:pPr>
        <w:pStyle w:val="Normal"/>
        <w:jc w:val="both"/>
        <w:rPr>
          <w:sz w:val="24"/>
          <w:szCs w:val="24"/>
        </w:rPr>
      </w:pPr>
      <w:r>
        <w:rPr>
          <w:sz w:val="24"/>
          <w:szCs w:val="24"/>
        </w:rPr>
      </w:r>
    </w:p>
    <w:p>
      <w:pPr>
        <w:pStyle w:val="Normal"/>
        <w:spacing w:lineRule="atLeast" w:line="240"/>
        <w:ind w:right="-1" w:hanging="0"/>
        <w:jc w:val="both"/>
        <w:rPr>
          <w:caps/>
          <w:sz w:val="24"/>
          <w:szCs w:val="24"/>
        </w:rPr>
      </w:pPr>
      <w:r>
        <w:rPr>
          <w:b/>
          <w:caps/>
          <w:sz w:val="24"/>
          <w:szCs w:val="24"/>
        </w:rPr>
        <w:t>Prvá pomoc</w:t>
      </w:r>
    </w:p>
    <w:p>
      <w:pPr>
        <w:pStyle w:val="Normal"/>
        <w:spacing w:lineRule="atLeast" w:line="240"/>
        <w:jc w:val="both"/>
        <w:rPr>
          <w:sz w:val="24"/>
          <w:szCs w:val="24"/>
        </w:rPr>
      </w:pPr>
      <w:r>
        <w:rPr>
          <w:sz w:val="24"/>
          <w:szCs w:val="24"/>
        </w:rPr>
        <w:t xml:space="preserve">Pri pretrvávajúcich zdravotných problémoch (silné pálenie až bolesť očí, začervenanie, slzenie; podráždenie kože alebo podozrenie na alergickú reakciu; problémy pri dýchaní a pod.) alebo v prípade pochybností, upovedomte lekára a poskytnite mu informácie zo štítku, príbalového letáku alebo bezpečnostného listu. </w:t>
      </w:r>
    </w:p>
    <w:tbl>
      <w:tblPr>
        <w:tblW w:w="9923" w:type="dxa"/>
        <w:jc w:val="left"/>
        <w:tblInd w:w="-34" w:type="dxa"/>
        <w:tblBorders/>
        <w:tblCellMar>
          <w:top w:w="0" w:type="dxa"/>
          <w:left w:w="108" w:type="dxa"/>
          <w:bottom w:w="0" w:type="dxa"/>
          <w:right w:w="108" w:type="dxa"/>
        </w:tblCellMar>
        <w:tblLook w:firstRow="1" w:noVBand="0" w:lastRow="0" w:firstColumn="1" w:lastColumn="0" w:noHBand="0" w:val="00a0"/>
      </w:tblPr>
      <w:tblGrid>
        <w:gridCol w:w="2694"/>
        <w:gridCol w:w="7228"/>
      </w:tblGrid>
      <w:tr>
        <w:trPr/>
        <w:tc>
          <w:tcPr>
            <w:tcW w:w="2694" w:type="dxa"/>
            <w:tcBorders/>
            <w:shd w:color="auto" w:fill="auto" w:val="clear"/>
          </w:tcPr>
          <w:p>
            <w:pPr>
              <w:pStyle w:val="Normal"/>
              <w:rPr>
                <w:b/>
                <w:b/>
                <w:bCs/>
                <w:sz w:val="24"/>
                <w:szCs w:val="24"/>
              </w:rPr>
            </w:pPr>
            <w:r>
              <w:rPr>
                <w:b/>
                <w:sz w:val="24"/>
                <w:szCs w:val="24"/>
              </w:rPr>
              <w:t>Po nadýchaní:</w:t>
            </w:r>
          </w:p>
        </w:tc>
        <w:tc>
          <w:tcPr>
            <w:tcW w:w="7228" w:type="dxa"/>
            <w:tcBorders/>
            <w:shd w:color="auto" w:fill="auto" w:val="clear"/>
          </w:tcPr>
          <w:p>
            <w:pPr>
              <w:pStyle w:val="Normal"/>
              <w:spacing w:lineRule="atLeast" w:line="240"/>
              <w:jc w:val="both"/>
              <w:rPr>
                <w:b/>
                <w:b/>
                <w:sz w:val="24"/>
                <w:szCs w:val="24"/>
              </w:rPr>
            </w:pPr>
            <w:r>
              <w:rPr>
                <w:sz w:val="24"/>
                <w:szCs w:val="24"/>
              </w:rPr>
              <w:t>Opustite zamorený priestor, zabezpečte pobyt na čistom vzduchu, rozopnite na hrudníku odev, zabezpečte pokoj a teplo. Poraďte sa s lekárom.</w:t>
            </w:r>
          </w:p>
        </w:tc>
      </w:tr>
      <w:tr>
        <w:trPr/>
        <w:tc>
          <w:tcPr>
            <w:tcW w:w="2694" w:type="dxa"/>
            <w:tcBorders/>
            <w:shd w:color="auto" w:fill="auto" w:val="clear"/>
          </w:tcPr>
          <w:p>
            <w:pPr>
              <w:pStyle w:val="Normal"/>
              <w:rPr>
                <w:b/>
                <w:b/>
                <w:bCs/>
                <w:sz w:val="24"/>
                <w:szCs w:val="24"/>
              </w:rPr>
            </w:pPr>
            <w:r>
              <w:rPr>
                <w:b/>
                <w:sz w:val="24"/>
                <w:szCs w:val="24"/>
              </w:rPr>
              <w:t>Po požití:</w:t>
            </w:r>
          </w:p>
        </w:tc>
        <w:tc>
          <w:tcPr>
            <w:tcW w:w="7228" w:type="dxa"/>
            <w:tcBorders/>
            <w:shd w:color="auto" w:fill="auto" w:val="clear"/>
          </w:tcPr>
          <w:p>
            <w:pPr>
              <w:pStyle w:val="Normal"/>
              <w:spacing w:lineRule="atLeast" w:line="240"/>
              <w:jc w:val="both"/>
              <w:rPr>
                <w:sz w:val="24"/>
                <w:szCs w:val="24"/>
              </w:rPr>
            </w:pPr>
            <w:r>
              <w:rPr>
                <w:sz w:val="24"/>
                <w:szCs w:val="24"/>
              </w:rPr>
              <w:t xml:space="preserve">Nevyvolávajte zvracanie! Ak je pacient pri vedomí, vypláchnite mu ústa vodou. Poraďte sa s lekárom. O vyvolaní/nevyvolaní zvracania musí rozhodnúť lekár. Privolajte ihneď lekára. </w:t>
            </w:r>
          </w:p>
        </w:tc>
      </w:tr>
      <w:tr>
        <w:trPr/>
        <w:tc>
          <w:tcPr>
            <w:tcW w:w="2694" w:type="dxa"/>
            <w:tcBorders/>
            <w:shd w:color="auto" w:fill="auto" w:val="clear"/>
          </w:tcPr>
          <w:p>
            <w:pPr>
              <w:pStyle w:val="Normal"/>
              <w:rPr>
                <w:b/>
                <w:b/>
                <w:bCs/>
                <w:sz w:val="24"/>
                <w:szCs w:val="24"/>
              </w:rPr>
            </w:pPr>
            <w:r>
              <w:rPr>
                <w:b/>
                <w:sz w:val="24"/>
                <w:szCs w:val="24"/>
              </w:rPr>
              <w:t>Po zasiahnutí očí:</w:t>
            </w:r>
          </w:p>
        </w:tc>
        <w:tc>
          <w:tcPr>
            <w:tcW w:w="7228" w:type="dxa"/>
            <w:tcBorders/>
            <w:shd w:color="auto" w:fill="auto" w:val="clear"/>
          </w:tcPr>
          <w:p>
            <w:pPr>
              <w:pStyle w:val="Normal"/>
              <w:spacing w:lineRule="atLeast" w:line="240"/>
              <w:jc w:val="both"/>
              <w:rPr>
                <w:bCs/>
                <w:sz w:val="24"/>
                <w:szCs w:val="24"/>
              </w:rPr>
            </w:pPr>
            <w:r>
              <w:rPr>
                <w:sz w:val="24"/>
                <w:szCs w:val="24"/>
              </w:rPr>
              <w:t>Odstráňte kontaktné šošovky, pokiaľ sú používané. Otvorte oči vyplachujte ich cca. 15 minút čistou tečúcou vodou. Okamžite vyhľadajte odbornú lekársku pomoc, najlepšie oftalmológa. Kontaminované kontaktné šošovky nie je možné opätovne použiť.</w:t>
            </w:r>
          </w:p>
        </w:tc>
      </w:tr>
      <w:tr>
        <w:trPr/>
        <w:tc>
          <w:tcPr>
            <w:tcW w:w="2694" w:type="dxa"/>
            <w:tcBorders/>
            <w:shd w:color="auto" w:fill="auto" w:val="clear"/>
          </w:tcPr>
          <w:p>
            <w:pPr>
              <w:pStyle w:val="Normal"/>
              <w:rPr>
                <w:b/>
                <w:b/>
                <w:bCs/>
                <w:sz w:val="24"/>
                <w:szCs w:val="24"/>
              </w:rPr>
            </w:pPr>
            <w:r>
              <w:rPr>
                <w:b/>
                <w:sz w:val="24"/>
                <w:szCs w:val="24"/>
              </w:rPr>
              <w:t>Po zasiahnutí pokožky:</w:t>
            </w:r>
          </w:p>
        </w:tc>
        <w:tc>
          <w:tcPr>
            <w:tcW w:w="7228" w:type="dxa"/>
            <w:tcBorders/>
            <w:shd w:color="auto" w:fill="auto" w:val="clear"/>
          </w:tcPr>
          <w:p>
            <w:pPr>
              <w:pStyle w:val="Normal"/>
              <w:spacing w:lineRule="atLeast" w:line="240"/>
              <w:ind w:right="-1" w:hanging="0"/>
              <w:jc w:val="both"/>
              <w:rPr>
                <w:sz w:val="24"/>
                <w:szCs w:val="24"/>
              </w:rPr>
            </w:pPr>
            <w:r>
              <w:rPr>
                <w:sz w:val="24"/>
                <w:szCs w:val="24"/>
              </w:rPr>
              <w:t>Odstráňte zamorený odev a postihnuté miesto dôkladne umyte teplou vodou a mydlom. Zasiahnutý odev pred opätovným použitím vyperte.</w:t>
            </w:r>
          </w:p>
        </w:tc>
      </w:tr>
      <w:tr>
        <w:trPr/>
        <w:tc>
          <w:tcPr>
            <w:tcW w:w="2694" w:type="dxa"/>
            <w:tcBorders/>
            <w:shd w:color="auto" w:fill="auto" w:val="clear"/>
          </w:tcPr>
          <w:p>
            <w:pPr>
              <w:pStyle w:val="Normal"/>
              <w:tabs>
                <w:tab w:val="left" w:pos="3969" w:leader="none"/>
              </w:tabs>
              <w:rPr>
                <w:b/>
                <w:b/>
                <w:bCs/>
                <w:sz w:val="24"/>
                <w:szCs w:val="24"/>
              </w:rPr>
            </w:pPr>
            <w:r>
              <w:rPr>
                <w:b/>
                <w:sz w:val="24"/>
                <w:szCs w:val="24"/>
              </w:rPr>
              <w:t>Pri otrave alebo podozrení na otravu:</w:t>
            </w:r>
          </w:p>
        </w:tc>
        <w:tc>
          <w:tcPr>
            <w:tcW w:w="7228" w:type="dxa"/>
            <w:tcBorders/>
            <w:shd w:color="auto" w:fill="auto" w:val="clear"/>
          </w:tcPr>
          <w:p>
            <w:pPr>
              <w:pStyle w:val="Normal"/>
              <w:tabs>
                <w:tab w:val="left" w:pos="3969" w:leader="none"/>
              </w:tabs>
              <w:rPr>
                <w:b/>
                <w:b/>
                <w:bCs/>
                <w:sz w:val="24"/>
                <w:szCs w:val="24"/>
              </w:rPr>
            </w:pPr>
            <w:r>
              <w:rPr>
                <w:sz w:val="24"/>
                <w:szCs w:val="24"/>
              </w:rPr>
              <w:t>Privolajte lekára a informujte ho o prípravku a poskytnutej prvej pomoci.</w:t>
            </w:r>
          </w:p>
        </w:tc>
      </w:tr>
    </w:tbl>
    <w:p>
      <w:pPr>
        <w:pStyle w:val="Normal"/>
        <w:spacing w:lineRule="atLeast" w:line="240"/>
        <w:jc w:val="both"/>
        <w:rPr>
          <w:b/>
          <w:b/>
          <w:sz w:val="24"/>
          <w:szCs w:val="24"/>
        </w:rPr>
      </w:pPr>
      <w:r>
        <w:rPr>
          <w:b/>
          <w:sz w:val="24"/>
          <w:szCs w:val="24"/>
        </w:rPr>
      </w:r>
    </w:p>
    <w:p>
      <w:pPr>
        <w:pStyle w:val="Normal"/>
        <w:spacing w:lineRule="atLeast" w:line="240"/>
        <w:ind w:right="-1" w:hanging="0"/>
        <w:jc w:val="both"/>
        <w:rPr>
          <w:sz w:val="24"/>
          <w:szCs w:val="24"/>
        </w:rPr>
      </w:pPr>
      <w:r>
        <w:rPr>
          <w:b/>
          <w:sz w:val="24"/>
          <w:szCs w:val="24"/>
        </w:rPr>
        <w:t xml:space="preserve">Správa pre lekára: </w:t>
      </w:r>
      <w:r>
        <w:rPr>
          <w:sz w:val="24"/>
          <w:szCs w:val="24"/>
        </w:rPr>
        <w:t>Nie je známy žiadny špecifický protijed. Podporná liečba. Liečba je založená na posudku lekára, ktorý vychádza zo symptómov pacienta.</w:t>
      </w:r>
    </w:p>
    <w:p>
      <w:pPr>
        <w:pStyle w:val="Normal"/>
        <w:spacing w:lineRule="atLeast" w:line="240"/>
        <w:jc w:val="both"/>
        <w:rPr>
          <w:sz w:val="24"/>
          <w:szCs w:val="24"/>
        </w:rPr>
      </w:pPr>
      <w:r>
        <w:rPr>
          <w:sz w:val="24"/>
          <w:szCs w:val="24"/>
        </w:rPr>
      </w:r>
    </w:p>
    <w:p>
      <w:pPr>
        <w:pStyle w:val="Normal"/>
        <w:jc w:val="both"/>
        <w:rPr>
          <w:sz w:val="24"/>
          <w:szCs w:val="24"/>
        </w:rPr>
      </w:pPr>
      <w:r>
        <w:rPr>
          <w:sz w:val="24"/>
          <w:szCs w:val="24"/>
        </w:rPr>
        <w:t>V prípade potreby môže lekár liečbu konzultovať s Národným toxikologickým informačným centrom v Bratislave (číslo telefónu: 02/54 77 41 66).</w:t>
      </w:r>
    </w:p>
    <w:p>
      <w:pPr>
        <w:pStyle w:val="Normal"/>
        <w:jc w:val="both"/>
        <w:rPr>
          <w:sz w:val="24"/>
          <w:szCs w:val="24"/>
        </w:rPr>
      </w:pPr>
      <w:r>
        <w:rPr>
          <w:sz w:val="24"/>
          <w:szCs w:val="24"/>
        </w:rPr>
      </w:r>
    </w:p>
    <w:p>
      <w:pPr>
        <w:pStyle w:val="Normal"/>
        <w:spacing w:lineRule="atLeast" w:line="240"/>
        <w:jc w:val="both"/>
        <w:rPr>
          <w:b/>
          <w:b/>
          <w:sz w:val="24"/>
          <w:szCs w:val="24"/>
        </w:rPr>
      </w:pPr>
      <w:r>
        <w:rPr>
          <w:b/>
          <w:sz w:val="24"/>
          <w:szCs w:val="24"/>
        </w:rPr>
        <w:t>SKLADOVANIE</w:t>
      </w:r>
    </w:p>
    <w:p>
      <w:pPr>
        <w:pStyle w:val="Normal"/>
        <w:spacing w:lineRule="atLeast" w:line="240"/>
        <w:jc w:val="both"/>
        <w:rPr>
          <w:sz w:val="24"/>
          <w:szCs w:val="24"/>
        </w:rPr>
      </w:pPr>
      <w:r>
        <w:rPr>
          <w:sz w:val="24"/>
          <w:szCs w:val="24"/>
        </w:rPr>
        <w:t>Prípravok skladujte v pôvodných neporušených obaloch, v suchých, chladných, dobre vetrateľných, hygienicky čistých a uzamknutých skladoch, oddelene od potravín, nápojov, krmív, hnojív, liekov, dezinfekčných prostriedkov a prázdnych obalov od týchto látok pri teplotách +5°C až +30°C. Chráňte pred mrazom, ohňom a priamym slnečným svetlom. Pri dodržaní skladovacích podmienok v originálnych nepoškodených obaloch je doba použiteľnosti prípravku 2 roky od dátumu výroby.</w:t>
      </w:r>
    </w:p>
    <w:p>
      <w:pPr>
        <w:pStyle w:val="Normal"/>
        <w:spacing w:lineRule="atLeast" w:line="240"/>
        <w:jc w:val="both"/>
        <w:rPr>
          <w:sz w:val="24"/>
          <w:szCs w:val="24"/>
        </w:rPr>
      </w:pPr>
      <w:r>
        <w:rPr>
          <w:sz w:val="24"/>
          <w:szCs w:val="24"/>
        </w:rPr>
      </w:r>
    </w:p>
    <w:p>
      <w:pPr>
        <w:pStyle w:val="Normal"/>
        <w:spacing w:lineRule="atLeast" w:line="240"/>
        <w:ind w:right="-1" w:hanging="0"/>
        <w:jc w:val="both"/>
        <w:rPr>
          <w:sz w:val="24"/>
          <w:szCs w:val="24"/>
        </w:rPr>
      </w:pPr>
      <w:r>
        <w:rPr>
          <w:b/>
          <w:sz w:val="24"/>
          <w:szCs w:val="24"/>
        </w:rPr>
        <w:t>ZNEŠKODNENIE ZVYŠKOV</w:t>
      </w:r>
    </w:p>
    <w:p>
      <w:pPr>
        <w:pStyle w:val="Normal"/>
        <w:jc w:val="both"/>
        <w:rPr>
          <w:sz w:val="24"/>
          <w:szCs w:val="24"/>
          <w:lang w:eastAsia="en-US"/>
        </w:rPr>
      </w:pPr>
      <w:r>
        <w:rPr>
          <w:sz w:val="24"/>
          <w:szCs w:val="24"/>
          <w:lang w:eastAsia="en-US"/>
        </w:rPr>
        <w:t>Nepoužité zvyšky prípravku v pôvodnom obale zneškodnite ako nebezpečný odpad.</w:t>
      </w:r>
    </w:p>
    <w:p>
      <w:pPr>
        <w:pStyle w:val="Normal"/>
        <w:jc w:val="both"/>
        <w:rPr>
          <w:sz w:val="24"/>
          <w:szCs w:val="24"/>
          <w:lang w:eastAsia="en-US"/>
        </w:rPr>
      </w:pPr>
      <w:r>
        <w:rPr>
          <w:sz w:val="24"/>
          <w:szCs w:val="24"/>
          <w:lang w:eastAsia="en-US"/>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pPr>
        <w:pStyle w:val="Normal"/>
        <w:jc w:val="both"/>
        <w:rPr>
          <w:sz w:val="24"/>
          <w:szCs w:val="24"/>
        </w:rPr>
      </w:pPr>
      <w:r>
        <w:rPr>
          <w:sz w:val="24"/>
          <w:szCs w:val="24"/>
        </w:rPr>
      </w:r>
    </w:p>
    <w:p>
      <w:pPr>
        <w:pStyle w:val="Normal"/>
        <w:pBdr/>
        <w:rPr/>
      </w:pPr>
      <w:r>
        <w:rPr/>
      </w:r>
    </w:p>
    <w:sectPr>
      <w:headerReference w:type="default" r:id="rId5"/>
      <w:footerReference w:type="default" r:id="rId6"/>
      <w:type w:val="nextPage"/>
      <w:pgSz w:w="11906" w:h="16838"/>
      <w:pgMar w:left="1134" w:right="992" w:header="737" w:top="1361" w:footer="510" w:bottom="1361"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tbl>
    <w:tblPr>
      <w:tblW w:w="9838" w:type="dxa"/>
      <w:jc w:val="left"/>
      <w:tblInd w:w="0" w:type="dxa"/>
      <w:tblBorders/>
      <w:tblCellMar>
        <w:top w:w="0" w:type="dxa"/>
        <w:left w:w="57" w:type="dxa"/>
        <w:bottom w:w="0" w:type="dxa"/>
        <w:right w:w="57" w:type="dxa"/>
      </w:tblCellMar>
      <w:tblLook w:firstRow="1" w:noVBand="0" w:lastRow="1" w:firstColumn="1" w:lastColumn="1" w:noHBand="0" w:val="01e0"/>
    </w:tblPr>
    <w:tblGrid>
      <w:gridCol w:w="4593"/>
      <w:gridCol w:w="5244"/>
    </w:tblGrid>
    <w:tr>
      <w:trPr/>
      <w:tc>
        <w:tcPr>
          <w:tcW w:w="4593" w:type="dxa"/>
          <w:tcBorders/>
          <w:shd w:fill="auto" w:val="clear"/>
        </w:tcPr>
        <w:p>
          <w:pPr>
            <w:pStyle w:val="Normal"/>
            <w:tabs>
              <w:tab w:val="left" w:pos="300" w:leader="none"/>
            </w:tabs>
            <w:ind w:right="113" w:hanging="0"/>
            <w:rPr>
              <w:sz w:val="22"/>
              <w:szCs w:val="22"/>
            </w:rPr>
          </w:pPr>
          <w:r>
            <w:rPr>
              <w:sz w:val="22"/>
              <w:szCs w:val="22"/>
            </w:rPr>
            <w:t>ICZ/2014/2801/mt</w:t>
          </w:r>
        </w:p>
      </w:tc>
      <w:tc>
        <w:tcPr>
          <w:tcW w:w="5244" w:type="dxa"/>
          <w:tcBorders/>
          <w:shd w:fill="auto" w:val="clear"/>
        </w:tcPr>
        <w:p>
          <w:pPr>
            <w:pStyle w:val="Pta"/>
            <w:jc w:val="right"/>
            <w:rPr/>
          </w:pPr>
          <w:r>
            <w:rPr>
              <w:bCs/>
              <w:sz w:val="22"/>
              <w:szCs w:val="22"/>
            </w:rPr>
            <w:fldChar w:fldCharType="begin"/>
          </w:r>
          <w:r>
            <w:instrText> PAGE </w:instrText>
          </w:r>
          <w:r>
            <w:fldChar w:fldCharType="separate"/>
          </w:r>
          <w:r>
            <w:t>5</w:t>
          </w:r>
          <w:r>
            <w:fldChar w:fldCharType="end"/>
          </w:r>
          <w:r>
            <w:rPr>
              <w:sz w:val="22"/>
              <w:szCs w:val="22"/>
            </w:rPr>
            <w:t>/</w:t>
          </w:r>
          <w:r>
            <w:rPr>
              <w:bCs/>
              <w:sz w:val="22"/>
              <w:szCs w:val="22"/>
            </w:rPr>
            <w:fldChar w:fldCharType="begin"/>
          </w:r>
          <w:r>
            <w:instrText> NUMPAGES </w:instrText>
          </w:r>
          <w:r>
            <w:fldChar w:fldCharType="separate"/>
          </w:r>
          <w:r>
            <w:t>5</w:t>
          </w:r>
          <w:r>
            <w:fldChar w:fldCharType="end"/>
          </w:r>
        </w:p>
      </w:tc>
    </w:tr>
  </w:tbl>
  <w:p>
    <w:pPr>
      <w:pStyle w:val="Normal"/>
      <w:ind w:right="-1"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right"/>
      <w:rPr>
        <w:sz w:val="22"/>
        <w:szCs w:val="22"/>
      </w:rPr>
    </w:pPr>
    <w:r>
      <w:rPr>
        <w:sz w:val="22"/>
        <w:szCs w:val="22"/>
      </w:rPr>
      <w:t>Schválená: 29.1.2015</w:t>
    </w:r>
  </w:p>
</w:hdr>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uiPriority="10" w:semiHidden="0" w:unhideWhenUsed="0" w:qFormat="1"/>
    <w:lsdException w:name="Default Paragraph Fo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2cf2"/>
    <w:pPr>
      <w:widowControl/>
      <w:overflowPunct w:val="true"/>
      <w:bidi w:val="0"/>
      <w:spacing w:lineRule="auto" w:line="240" w:before="0" w:after="0"/>
      <w:jc w:val="left"/>
      <w:textAlignment w:val="baseline"/>
    </w:pPr>
    <w:rPr>
      <w:rFonts w:ascii="Times New Roman" w:hAnsi="Times New Roman" w:eastAsia="Times New Roman" w:cs="Times New Roman"/>
      <w:color w:val="auto"/>
      <w:sz w:val="20"/>
      <w:szCs w:val="20"/>
      <w:lang w:eastAsia="sk-SK" w:val="sk-SK" w:bidi="ar-SA"/>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352cf2"/>
    <w:rPr>
      <w:rFonts w:ascii="Times New Roman" w:hAnsi="Times New Roman" w:eastAsia="Times New Roman" w:cs="Times New Roman"/>
      <w:sz w:val="20"/>
      <w:szCs w:val="20"/>
      <w:lang w:eastAsia="sk-SK"/>
    </w:rPr>
  </w:style>
  <w:style w:type="character" w:styleId="PtaChar" w:customStyle="1">
    <w:name w:val="Päta Char"/>
    <w:basedOn w:val="DefaultParagraphFont"/>
    <w:link w:val="Pta"/>
    <w:uiPriority w:val="99"/>
    <w:qFormat/>
    <w:rsid w:val="00352cf2"/>
    <w:rPr>
      <w:rFonts w:ascii="Times New Roman" w:hAnsi="Times New Roman" w:eastAsia="Times New Roman" w:cs="Times New Roman"/>
      <w:sz w:val="20"/>
      <w:szCs w:val="20"/>
      <w:lang w:eastAsia="sk-SK"/>
    </w:rPr>
  </w:style>
  <w:style w:type="character" w:styleId="Zkladntext2Char" w:customStyle="1">
    <w:name w:val="Základný text 2 Char"/>
    <w:basedOn w:val="DefaultParagraphFont"/>
    <w:link w:val="Zkladntext2"/>
    <w:qFormat/>
    <w:rsid w:val="00352cf2"/>
    <w:rPr>
      <w:rFonts w:ascii="Times New Roman" w:hAnsi="Times New Roman" w:eastAsia="Times New Roman" w:cs="Times New Roman"/>
      <w:sz w:val="24"/>
      <w:szCs w:val="20"/>
      <w:lang w:val="en-GB" w:eastAsia="sk-SK"/>
    </w:rPr>
  </w:style>
  <w:style w:type="character" w:styleId="Pagenumber">
    <w:name w:val="page number"/>
    <w:basedOn w:val="DefaultParagraphFont"/>
    <w:qFormat/>
    <w:rsid w:val="00352cf2"/>
    <w:rPr/>
  </w:style>
  <w:style w:type="character" w:styleId="Annotationreference">
    <w:name w:val="annotation reference"/>
    <w:qFormat/>
    <w:rsid w:val="00352cf2"/>
    <w:rPr>
      <w:sz w:val="16"/>
      <w:szCs w:val="16"/>
    </w:rPr>
  </w:style>
  <w:style w:type="character" w:styleId="TextkomentraChar" w:customStyle="1">
    <w:name w:val="Text komentára Char"/>
    <w:basedOn w:val="DefaultParagraphFont"/>
    <w:link w:val="Textkomentra"/>
    <w:qFormat/>
    <w:rsid w:val="00352cf2"/>
    <w:rPr>
      <w:rFonts w:ascii="Times New Roman" w:hAnsi="Times New Roman" w:eastAsia="Times New Roman" w:cs="Times New Roman"/>
      <w:sz w:val="20"/>
      <w:szCs w:val="20"/>
      <w:lang w:eastAsia="sk-SK"/>
    </w:rPr>
  </w:style>
  <w:style w:type="character" w:styleId="TextbublinyChar" w:customStyle="1">
    <w:name w:val="Text bubliny Char"/>
    <w:basedOn w:val="DefaultParagraphFont"/>
    <w:link w:val="Textbubliny"/>
    <w:uiPriority w:val="99"/>
    <w:semiHidden/>
    <w:qFormat/>
    <w:rsid w:val="002e00d5"/>
    <w:rPr>
      <w:rFonts w:ascii="Tahoma" w:hAnsi="Tahoma" w:eastAsia="Times New Roman" w:cs="Tahoma"/>
      <w:sz w:val="16"/>
      <w:szCs w:val="16"/>
      <w:lang w:eastAsia="sk-SK"/>
    </w:rPr>
  </w:style>
  <w:style w:type="character" w:styleId="PredmetkomentraChar" w:customStyle="1">
    <w:name w:val="Predmet komentára Char"/>
    <w:basedOn w:val="TextkomentraChar"/>
    <w:link w:val="Predmetkomentra"/>
    <w:uiPriority w:val="99"/>
    <w:semiHidden/>
    <w:qFormat/>
    <w:rsid w:val="00412fb7"/>
    <w:rPr>
      <w:rFonts w:ascii="Times New Roman" w:hAnsi="Times New Roman" w:eastAsia="Times New Roman" w:cs="Times New Roman"/>
      <w:b/>
      <w:bCs/>
      <w:sz w:val="20"/>
      <w:szCs w:val="20"/>
      <w:lang w:eastAsia="sk-SK"/>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
    <w:name w:val="Header"/>
    <w:basedOn w:val="Normal"/>
    <w:link w:val="HlavikaChar"/>
    <w:uiPriority w:val="99"/>
    <w:rsid w:val="00352cf2"/>
    <w:pPr>
      <w:tabs>
        <w:tab w:val="center" w:pos="4153" w:leader="none"/>
        <w:tab w:val="right" w:pos="8306" w:leader="none"/>
      </w:tabs>
    </w:pPr>
    <w:rPr/>
  </w:style>
  <w:style w:type="paragraph" w:styleId="Pta">
    <w:name w:val="Footer"/>
    <w:basedOn w:val="Normal"/>
    <w:link w:val="PtaChar"/>
    <w:uiPriority w:val="99"/>
    <w:rsid w:val="00352cf2"/>
    <w:pPr>
      <w:tabs>
        <w:tab w:val="center" w:pos="4153" w:leader="none"/>
        <w:tab w:val="right" w:pos="8306" w:leader="none"/>
      </w:tabs>
    </w:pPr>
    <w:rPr/>
  </w:style>
  <w:style w:type="paragraph" w:styleId="NormalIndent">
    <w:name w:val="Normal Indent"/>
    <w:basedOn w:val="Normal"/>
    <w:qFormat/>
    <w:rsid w:val="00352cf2"/>
    <w:pPr>
      <w:ind w:left="720" w:hanging="0"/>
    </w:pPr>
    <w:rPr>
      <w:lang w:val="en-GB"/>
    </w:rPr>
  </w:style>
  <w:style w:type="paragraph" w:styleId="BodyText2">
    <w:name w:val="Body Text 2"/>
    <w:basedOn w:val="Normal"/>
    <w:link w:val="Zkladntext2Char"/>
    <w:qFormat/>
    <w:rsid w:val="00352cf2"/>
    <w:pPr>
      <w:jc w:val="both"/>
    </w:pPr>
    <w:rPr>
      <w:sz w:val="24"/>
      <w:lang w:val="en-GB"/>
    </w:rPr>
  </w:style>
  <w:style w:type="paragraph" w:styleId="Annotationtext">
    <w:name w:val="annotation text"/>
    <w:basedOn w:val="Normal"/>
    <w:link w:val="TextkomentraChar"/>
    <w:qFormat/>
    <w:rsid w:val="00352cf2"/>
    <w:pPr/>
    <w:rPr/>
  </w:style>
  <w:style w:type="paragraph" w:styleId="Default" w:customStyle="1">
    <w:name w:val="Default"/>
    <w:qFormat/>
    <w:rsid w:val="00352cf2"/>
    <w:pPr>
      <w:widowControl/>
      <w:bidi w:val="0"/>
      <w:spacing w:lineRule="auto" w:line="240" w:before="0" w:after="0"/>
      <w:jc w:val="left"/>
    </w:pPr>
    <w:rPr>
      <w:rFonts w:ascii="Times New Roman" w:hAnsi="Times New Roman" w:eastAsia="Times New Roman" w:cs="Times New Roman"/>
      <w:color w:val="000000"/>
      <w:sz w:val="24"/>
      <w:szCs w:val="24"/>
      <w:lang w:eastAsia="sk-SK" w:val="sk-SK" w:bidi="ar-SA"/>
    </w:rPr>
  </w:style>
  <w:style w:type="paragraph" w:styleId="BalloonText">
    <w:name w:val="Balloon Text"/>
    <w:basedOn w:val="Normal"/>
    <w:link w:val="TextbublinyChar"/>
    <w:uiPriority w:val="99"/>
    <w:semiHidden/>
    <w:unhideWhenUsed/>
    <w:qFormat/>
    <w:rsid w:val="002e00d5"/>
    <w:pPr/>
    <w:rPr>
      <w:rFonts w:ascii="Tahoma" w:hAnsi="Tahoma" w:cs="Tahoma"/>
      <w:sz w:val="16"/>
      <w:szCs w:val="16"/>
    </w:rPr>
  </w:style>
  <w:style w:type="paragraph" w:styleId="Revision">
    <w:name w:val="Revision"/>
    <w:uiPriority w:val="99"/>
    <w:semiHidden/>
    <w:qFormat/>
    <w:rsid w:val="00891519"/>
    <w:pPr>
      <w:widowControl/>
      <w:bidi w:val="0"/>
      <w:spacing w:lineRule="auto" w:line="240" w:before="0" w:after="0"/>
      <w:jc w:val="left"/>
    </w:pPr>
    <w:rPr>
      <w:rFonts w:ascii="Times New Roman" w:hAnsi="Times New Roman" w:eastAsia="Times New Roman" w:cs="Times New Roman"/>
      <w:color w:val="auto"/>
      <w:sz w:val="20"/>
      <w:szCs w:val="20"/>
      <w:lang w:eastAsia="sk-SK" w:val="sk-SK" w:bidi="ar-SA"/>
    </w:rPr>
  </w:style>
  <w:style w:type="paragraph" w:styleId="Annotationsubject">
    <w:name w:val="annotation subject"/>
    <w:basedOn w:val="Annotationtext"/>
    <w:link w:val="PredmetkomentraChar"/>
    <w:uiPriority w:val="99"/>
    <w:semiHidden/>
    <w:unhideWhenUsed/>
    <w:qFormat/>
    <w:rsid w:val="00412fb7"/>
    <w:pPr/>
    <w:rPr>
      <w:b/>
      <w:bCs/>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Application>LibreOffice/5.3.1.2$Windows_X86_64 LibreOffice_project/e80a0e0fd1875e1696614d24c32df0f95f03deb2</Application>
  <Pages>5</Pages>
  <Words>1362</Words>
  <Characters>8583</Characters>
  <CharactersWithSpaces>9843</CharactersWithSpaces>
  <Paragraphs>139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2014-11-04T11:57:00Z</dcterms:created>
  <dc:creator>Vavrík David Ing.</dc:creator>
  <dc:description/>
  <dc:language>sk-SK</dc:language>
  <cp:lastModifiedBy>Mateček Andrej Mgr.</cp:lastModifiedBy>
  <dcterms:modified xsi:type="dcterms:W3CDTF">2015-01-29T11:10:00Z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