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sk-SK"/>
        </w:rPr>
      </w:pPr>
      <w:r>
        <w:rPr>
          <w:lang w:val="sk-SK"/>
        </w:rPr>
        <w:t>Prípravok na ochranu rastlín pre profesionálnych používateľov</w:t>
      </w:r>
    </w:p>
    <w:p>
      <w:pPr>
        <w:pStyle w:val="Normal"/>
        <w:jc w:val="center"/>
        <w:rPr>
          <w:lang w:val="sk-SK"/>
        </w:rPr>
      </w:pPr>
      <w:r>
        <w:rPr>
          <w:lang w:val="sk-SK"/>
        </w:rPr>
      </w:r>
    </w:p>
    <w:p>
      <w:pPr>
        <w:pStyle w:val="Normal"/>
        <w:jc w:val="center"/>
        <w:rPr>
          <w:sz w:val="40"/>
          <w:szCs w:val="40"/>
          <w:lang w:val="sk-SK"/>
        </w:rPr>
      </w:pPr>
      <w:r>
        <w:rPr>
          <w:b/>
          <w:sz w:val="40"/>
          <w:szCs w:val="40"/>
          <w:lang w:val="sk-SK"/>
        </w:rPr>
        <w:t>UNIX</w:t>
      </w:r>
      <w:r>
        <w:rPr>
          <w:b/>
          <w:sz w:val="40"/>
          <w:szCs w:val="40"/>
          <w:vertAlign w:val="superscript"/>
          <w:lang w:val="sk-SK"/>
        </w:rPr>
        <w:t>®</w:t>
      </w:r>
      <w:r>
        <w:rPr>
          <w:b/>
          <w:sz w:val="40"/>
          <w:szCs w:val="40"/>
          <w:lang w:val="sk-SK"/>
        </w:rPr>
        <w:t xml:space="preserve"> 75 WG </w:t>
      </w:r>
    </w:p>
    <w:p>
      <w:pPr>
        <w:pStyle w:val="Normal"/>
        <w:rPr>
          <w:lang w:val="sk-SK"/>
        </w:rPr>
      </w:pPr>
      <w:r>
        <w:rPr>
          <w:lang w:val="sk-SK"/>
        </w:rPr>
      </w:r>
    </w:p>
    <w:p>
      <w:pPr>
        <w:pStyle w:val="Normal"/>
        <w:jc w:val="both"/>
        <w:rPr>
          <w:lang w:val="sk-SK"/>
        </w:rPr>
      </w:pPr>
      <w:r>
        <w:rPr>
          <w:lang w:val="sk-SK"/>
        </w:rPr>
        <w:t>Postrekový fungicídny prípravok vo forme vodou dispergovateľných granúl (WG) určený na ochranu pšenice ozimnej a jačmeňa ozimného proti hubovým chorobám.</w:t>
      </w:r>
    </w:p>
    <w:p>
      <w:pPr>
        <w:pStyle w:val="Normal"/>
        <w:rPr>
          <w:lang w:val="sk-SK"/>
        </w:rPr>
      </w:pPr>
      <w:r>
        <w:rPr>
          <w:lang w:val="sk-SK"/>
        </w:rPr>
      </w:r>
    </w:p>
    <w:p>
      <w:pPr>
        <w:pStyle w:val="Nadpis2"/>
        <w:spacing w:before="0" w:after="0"/>
        <w:rPr>
          <w:i w:val="false"/>
          <w:i w:val="false"/>
          <w:iCs/>
          <w:sz w:val="24"/>
          <w:szCs w:val="24"/>
          <w:lang w:val="sk-SK"/>
        </w:rPr>
      </w:pPr>
      <w:r>
        <w:rPr>
          <w:i w:val="false"/>
          <w:iCs/>
          <w:sz w:val="24"/>
          <w:szCs w:val="24"/>
          <w:lang w:val="sk-SK"/>
        </w:rPr>
        <w:t>ÚČINNÁ LÁTKA</w:t>
      </w:r>
    </w:p>
    <w:tbl>
      <w:tblPr>
        <w:tblW w:w="9555" w:type="dxa"/>
        <w:jc w:val="left"/>
        <w:tblInd w:w="0" w:type="dxa"/>
        <w:tblBorders/>
        <w:tblCellMar>
          <w:top w:w="0" w:type="dxa"/>
          <w:left w:w="57" w:type="dxa"/>
          <w:bottom w:w="0" w:type="dxa"/>
          <w:right w:w="57" w:type="dxa"/>
        </w:tblCellMar>
        <w:tblLook w:firstRow="1" w:noVBand="0" w:lastRow="1" w:firstColumn="1" w:lastColumn="1" w:noHBand="0" w:val="01e0"/>
      </w:tblPr>
      <w:tblGrid>
        <w:gridCol w:w="1899"/>
        <w:gridCol w:w="2693"/>
        <w:gridCol w:w="4963"/>
      </w:tblGrid>
      <w:tr>
        <w:trPr/>
        <w:tc>
          <w:tcPr>
            <w:tcW w:w="1899" w:type="dxa"/>
            <w:tcBorders/>
            <w:shd w:fill="auto" w:val="clear"/>
          </w:tcPr>
          <w:p>
            <w:pPr>
              <w:pStyle w:val="Normal"/>
              <w:ind w:right="113" w:hanging="0"/>
              <w:rPr>
                <w:b/>
                <w:b/>
                <w:lang w:val="sk-SK"/>
              </w:rPr>
            </w:pPr>
            <w:r>
              <w:rPr>
                <w:b/>
                <w:bCs/>
                <w:lang w:val="sk-SK"/>
              </w:rPr>
              <w:t xml:space="preserve">Cyprodinil </w:t>
            </w:r>
          </w:p>
        </w:tc>
        <w:tc>
          <w:tcPr>
            <w:tcW w:w="2693" w:type="dxa"/>
            <w:tcBorders/>
            <w:shd w:fill="auto" w:val="clear"/>
          </w:tcPr>
          <w:p>
            <w:pPr>
              <w:pStyle w:val="Normal"/>
              <w:ind w:right="-57" w:hanging="0"/>
              <w:jc w:val="center"/>
              <w:rPr>
                <w:b/>
                <w:b/>
                <w:bCs/>
                <w:lang w:val="sk-SK"/>
              </w:rPr>
            </w:pPr>
            <w:r>
              <w:rPr>
                <w:b/>
                <w:bCs/>
                <w:lang w:val="sk-SK"/>
              </w:rPr>
              <w:t>750 g/kg</w:t>
            </w:r>
          </w:p>
          <w:p>
            <w:pPr>
              <w:pStyle w:val="Normal"/>
              <w:ind w:right="-57" w:hanging="0"/>
              <w:jc w:val="center"/>
              <w:rPr>
                <w:bCs/>
                <w:lang w:val="sk-SK"/>
              </w:rPr>
            </w:pPr>
            <w:r>
              <w:rPr>
                <w:bCs/>
                <w:lang w:val="sk-SK"/>
              </w:rPr>
              <w:t>(75 % hm)</w:t>
            </w:r>
          </w:p>
        </w:tc>
        <w:tc>
          <w:tcPr>
            <w:tcW w:w="4963" w:type="dxa"/>
            <w:tcBorders/>
            <w:shd w:fill="auto" w:val="clear"/>
          </w:tcPr>
          <w:p>
            <w:pPr>
              <w:pStyle w:val="Hlavika"/>
              <w:jc w:val="both"/>
              <w:rPr>
                <w:lang w:val="sk-SK"/>
              </w:rPr>
            </w:pPr>
            <w:r>
              <w:rPr>
                <w:lang w:val="sk-SK"/>
              </w:rPr>
            </w:r>
          </w:p>
        </w:tc>
      </w:tr>
    </w:tbl>
    <w:p>
      <w:pPr>
        <w:pStyle w:val="Normal"/>
        <w:rPr>
          <w:lang w:val="sk-SK" w:eastAsia="en-US"/>
        </w:rPr>
      </w:pPr>
      <w:r>
        <w:rPr>
          <w:lang w:val="sk-SK" w:eastAsia="en-US"/>
        </w:rPr>
      </w:r>
    </w:p>
    <w:p>
      <w:pPr>
        <w:pStyle w:val="Normal"/>
        <w:jc w:val="both"/>
        <w:rPr>
          <w:lang w:val="sk-SK"/>
        </w:rPr>
      </w:pPr>
      <w:r>
        <w:rPr>
          <w:b/>
          <w:lang w:val="sk-SK"/>
        </w:rPr>
        <w:t>Látky nebezpečné pre zdravie, ktoré prispievajú ku klasifikácii prípravku</w:t>
      </w:r>
      <w:r>
        <w:rPr>
          <w:lang w:val="sk-SK"/>
        </w:rPr>
        <w:t>: cyprodinil CAS No.: 121552-61-2</w:t>
      </w:r>
    </w:p>
    <w:p>
      <w:pPr>
        <w:pStyle w:val="Normal"/>
        <w:jc w:val="both"/>
        <w:rPr>
          <w:lang w:val="sk-SK"/>
        </w:rPr>
      </w:pPr>
      <w:r>
        <w:rPr>
          <w:lang w:val="sk-SK"/>
        </w:rPr>
      </w:r>
    </w:p>
    <w:p>
      <w:pPr>
        <w:pStyle w:val="Normal"/>
        <w:widowControl w:val="false"/>
        <w:jc w:val="both"/>
        <w:rPr>
          <w:b/>
          <w:b/>
          <w:lang w:val="sk-SK"/>
        </w:rPr>
      </w:pPr>
      <w:r>
        <w:rPr>
          <w:b/>
          <w:lang w:val="sk-SK"/>
        </w:rPr>
        <w:t>OZNAČENIE PRÍPRAVKU</w:t>
      </w:r>
    </w:p>
    <w:tbl>
      <w:tblPr>
        <w:tblW w:w="3274" w:type="dxa"/>
        <w:jc w:val="left"/>
        <w:tblInd w:w="-34" w:type="dxa"/>
        <w:tblBorders/>
        <w:tblCellMar>
          <w:top w:w="0" w:type="dxa"/>
          <w:left w:w="108" w:type="dxa"/>
          <w:bottom w:w="0" w:type="dxa"/>
          <w:right w:w="108" w:type="dxa"/>
        </w:tblCellMar>
        <w:tblLook w:firstRow="1" w:noVBand="0" w:lastRow="0" w:firstColumn="1" w:lastColumn="0" w:noHBand="0" w:val="00a0"/>
      </w:tblPr>
      <w:tblGrid>
        <w:gridCol w:w="1653"/>
        <w:gridCol w:w="1620"/>
      </w:tblGrid>
      <w:tr>
        <w:trPr/>
        <w:tc>
          <w:tcPr>
            <w:tcW w:w="1653" w:type="dxa"/>
            <w:tcBorders/>
            <w:shd w:fill="auto" w:val="clear"/>
          </w:tcPr>
          <w:p>
            <w:pPr>
              <w:pStyle w:val="Normal"/>
              <w:tabs>
                <w:tab w:val="left" w:pos="1008" w:leader="none"/>
              </w:tabs>
              <w:spacing w:before="40" w:after="40"/>
              <w:jc w:val="center"/>
              <w:rPr>
                <w:lang w:val="sk-SK" w:eastAsia="sk-SK"/>
              </w:rPr>
            </w:pPr>
            <w:r>
              <w:rPr/>
              <w:drawing>
                <wp:inline distT="0" distB="0" distL="0" distR="0">
                  <wp:extent cx="685800" cy="685800"/>
                  <wp:effectExtent l="0" t="0" r="0" b="0"/>
                  <wp:docPr id="1" name="Obrázo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6" descr=""/>
                          <pic:cNvPicPr>
                            <a:picLocks noChangeAspect="1" noChangeArrowheads="1"/>
                          </pic:cNvPicPr>
                        </pic:nvPicPr>
                        <pic:blipFill>
                          <a:blip r:embed="rId2"/>
                          <a:stretch>
                            <a:fillRect/>
                          </a:stretch>
                        </pic:blipFill>
                        <pic:spPr bwMode="auto">
                          <a:xfrm>
                            <a:off x="0" y="0"/>
                            <a:ext cx="685800" cy="685800"/>
                          </a:xfrm>
                          <a:prstGeom prst="rect">
                            <a:avLst/>
                          </a:prstGeom>
                        </pic:spPr>
                      </pic:pic>
                    </a:graphicData>
                  </a:graphic>
                </wp:inline>
              </w:drawing>
            </w:r>
          </w:p>
        </w:tc>
        <w:tc>
          <w:tcPr>
            <w:tcW w:w="1620" w:type="dxa"/>
            <w:tcBorders/>
            <w:shd w:fill="auto" w:val="clear"/>
          </w:tcPr>
          <w:p>
            <w:pPr>
              <w:pStyle w:val="Normal"/>
              <w:tabs>
                <w:tab w:val="left" w:pos="1008" w:leader="none"/>
              </w:tabs>
              <w:spacing w:before="40" w:after="40"/>
              <w:jc w:val="center"/>
              <w:rPr>
                <w:lang w:val="sk-SK" w:eastAsia="sk-SK"/>
              </w:rPr>
            </w:pPr>
            <w:r>
              <w:rPr/>
              <w:drawing>
                <wp:inline distT="0" distB="0" distL="0" distR="0">
                  <wp:extent cx="685800" cy="685800"/>
                  <wp:effectExtent l="0" t="0" r="0" b="0"/>
                  <wp:docPr id="2"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8" descr=""/>
                          <pic:cNvPicPr>
                            <a:picLocks noChangeAspect="1" noChangeArrowheads="1"/>
                          </pic:cNvPicPr>
                        </pic:nvPicPr>
                        <pic:blipFill>
                          <a:blip r:embed="rId3"/>
                          <a:stretch>
                            <a:fillRect/>
                          </a:stretch>
                        </pic:blipFill>
                        <pic:spPr bwMode="auto">
                          <a:xfrm>
                            <a:off x="0" y="0"/>
                            <a:ext cx="685800" cy="685800"/>
                          </a:xfrm>
                          <a:prstGeom prst="rect">
                            <a:avLst/>
                          </a:prstGeom>
                        </pic:spPr>
                      </pic:pic>
                    </a:graphicData>
                  </a:graphic>
                </wp:inline>
              </w:drawing>
            </w:r>
          </w:p>
        </w:tc>
      </w:tr>
      <w:tr>
        <w:trPr/>
        <w:tc>
          <w:tcPr>
            <w:tcW w:w="1653" w:type="dxa"/>
            <w:tcBorders/>
            <w:shd w:fill="auto" w:val="clear"/>
          </w:tcPr>
          <w:p>
            <w:pPr>
              <w:pStyle w:val="Normal"/>
              <w:tabs>
                <w:tab w:val="left" w:pos="1008" w:leader="none"/>
              </w:tabs>
              <w:spacing w:before="40" w:after="40"/>
              <w:jc w:val="center"/>
              <w:rPr>
                <w:sz w:val="20"/>
                <w:szCs w:val="20"/>
                <w:lang w:val="sk-SK" w:eastAsia="sk-SK"/>
              </w:rPr>
            </w:pPr>
            <w:r>
              <w:rPr>
                <w:sz w:val="20"/>
                <w:szCs w:val="20"/>
                <w:lang w:val="sk-SK" w:eastAsia="sk-SK"/>
              </w:rPr>
              <w:t>GHS07</w:t>
            </w:r>
          </w:p>
        </w:tc>
        <w:tc>
          <w:tcPr>
            <w:tcW w:w="1620" w:type="dxa"/>
            <w:tcBorders/>
            <w:shd w:fill="auto" w:val="clear"/>
          </w:tcPr>
          <w:p>
            <w:pPr>
              <w:pStyle w:val="Normal"/>
              <w:tabs>
                <w:tab w:val="left" w:pos="1008" w:leader="none"/>
              </w:tabs>
              <w:spacing w:before="40" w:after="40"/>
              <w:jc w:val="center"/>
              <w:rPr>
                <w:sz w:val="20"/>
                <w:szCs w:val="20"/>
                <w:lang w:val="sk-SK" w:eastAsia="sk-SK"/>
              </w:rPr>
            </w:pPr>
            <w:r>
              <w:rPr>
                <w:sz w:val="20"/>
                <w:szCs w:val="20"/>
                <w:lang w:val="sk-SK" w:eastAsia="sk-SK"/>
              </w:rPr>
              <w:t>GHS09</w:t>
            </w:r>
          </w:p>
        </w:tc>
      </w:tr>
    </w:tbl>
    <w:p>
      <w:pPr>
        <w:pStyle w:val="Normal"/>
        <w:ind w:left="2127" w:hanging="2127"/>
        <w:rPr>
          <w:szCs w:val="28"/>
          <w:lang w:val="sk-SK" w:eastAsia="sk-SK"/>
        </w:rPr>
      </w:pPr>
      <w:r>
        <w:rPr>
          <w:szCs w:val="28"/>
          <w:lang w:val="sk-SK" w:eastAsia="sk-SK"/>
        </w:rPr>
      </w:r>
    </w:p>
    <w:p>
      <w:pPr>
        <w:pStyle w:val="Normal"/>
        <w:ind w:left="2127" w:hanging="2127"/>
        <w:rPr>
          <w:b/>
          <w:b/>
          <w:sz w:val="28"/>
          <w:szCs w:val="28"/>
          <w:lang w:val="sk-SK" w:eastAsia="sk-SK"/>
        </w:rPr>
      </w:pPr>
      <w:r>
        <w:rPr>
          <w:b/>
          <w:sz w:val="28"/>
          <w:szCs w:val="28"/>
          <w:lang w:val="sk-SK" w:eastAsia="sk-SK"/>
        </w:rPr>
        <w:t>Pozor</w:t>
      </w:r>
    </w:p>
    <w:tbl>
      <w:tblPr>
        <w:tblW w:w="9214" w:type="dxa"/>
        <w:jc w:val="left"/>
        <w:tblInd w:w="-34" w:type="dxa"/>
        <w:tblBorders/>
        <w:tblCellMar>
          <w:top w:w="0" w:type="dxa"/>
          <w:left w:w="108" w:type="dxa"/>
          <w:bottom w:w="0" w:type="dxa"/>
          <w:right w:w="108" w:type="dxa"/>
        </w:tblCellMar>
        <w:tblLook w:firstRow="1" w:noVBand="0" w:lastRow="0" w:firstColumn="1" w:lastColumn="0" w:noHBand="0" w:val="00a0"/>
      </w:tblPr>
      <w:tblGrid>
        <w:gridCol w:w="1653"/>
        <w:gridCol w:w="7560"/>
      </w:tblGrid>
      <w:tr>
        <w:trPr/>
        <w:tc>
          <w:tcPr>
            <w:tcW w:w="1653" w:type="dxa"/>
            <w:tcBorders/>
            <w:shd w:fill="auto" w:val="clear"/>
          </w:tcPr>
          <w:p>
            <w:pPr>
              <w:pStyle w:val="Normal"/>
              <w:jc w:val="both"/>
              <w:rPr>
                <w:b/>
                <w:b/>
                <w:color w:val="A6A6A6" w:themeColor="background1" w:themeShade="a6"/>
                <w:lang w:val="sk-SK" w:eastAsia="sk-SK"/>
              </w:rPr>
            </w:pPr>
            <w:r>
              <w:rPr>
                <w:b/>
                <w:lang w:val="sk-SK" w:eastAsia="sk-SK"/>
              </w:rPr>
              <w:t>H317</w:t>
            </w:r>
          </w:p>
        </w:tc>
        <w:tc>
          <w:tcPr>
            <w:tcW w:w="7560" w:type="dxa"/>
            <w:tcBorders/>
            <w:shd w:fill="auto" w:val="clear"/>
          </w:tcPr>
          <w:p>
            <w:pPr>
              <w:pStyle w:val="Normal"/>
              <w:jc w:val="both"/>
              <w:rPr>
                <w:b/>
                <w:b/>
                <w:color w:val="A6A6A6" w:themeColor="background1" w:themeShade="a6"/>
                <w:lang w:val="sk-SK" w:eastAsia="sk-SK"/>
              </w:rPr>
            </w:pPr>
            <w:r>
              <w:rPr>
                <w:b/>
                <w:lang w:val="sk-SK"/>
              </w:rPr>
              <w:t>Môže vyvolať alergickú kožnú reakciu.</w:t>
            </w:r>
          </w:p>
        </w:tc>
      </w:tr>
      <w:tr>
        <w:trPr/>
        <w:tc>
          <w:tcPr>
            <w:tcW w:w="1653" w:type="dxa"/>
            <w:tcBorders/>
            <w:shd w:fill="auto" w:val="clear"/>
          </w:tcPr>
          <w:p>
            <w:pPr>
              <w:pStyle w:val="Normal"/>
              <w:jc w:val="both"/>
              <w:rPr>
                <w:lang w:val="sk-SK" w:eastAsia="sk-SK"/>
              </w:rPr>
            </w:pPr>
            <w:r>
              <w:rPr>
                <w:b/>
                <w:lang w:val="sk-SK" w:eastAsia="sk-SK"/>
              </w:rPr>
              <w:t>H410</w:t>
            </w:r>
          </w:p>
        </w:tc>
        <w:tc>
          <w:tcPr>
            <w:tcW w:w="7560" w:type="dxa"/>
            <w:tcBorders/>
            <w:shd w:fill="auto" w:val="clear"/>
          </w:tcPr>
          <w:p>
            <w:pPr>
              <w:pStyle w:val="Normal"/>
              <w:jc w:val="both"/>
              <w:rPr>
                <w:lang w:val="sk-SK"/>
              </w:rPr>
            </w:pPr>
            <w:r>
              <w:rPr>
                <w:b/>
                <w:lang w:val="sk-SK"/>
              </w:rPr>
              <w:t>Veľmi toxický pre vodné organizmy, s dlhodobými účinkami.</w:t>
            </w:r>
          </w:p>
        </w:tc>
      </w:tr>
      <w:tr>
        <w:trPr/>
        <w:tc>
          <w:tcPr>
            <w:tcW w:w="1653" w:type="dxa"/>
            <w:tcBorders/>
            <w:shd w:fill="auto" w:val="clear"/>
          </w:tcPr>
          <w:p>
            <w:pPr>
              <w:pStyle w:val="Normal"/>
              <w:jc w:val="both"/>
              <w:rPr>
                <w:lang w:val="sk-SK" w:eastAsia="sk-SK"/>
              </w:rPr>
            </w:pPr>
            <w:r>
              <w:rPr>
                <w:lang w:val="sk-SK" w:eastAsia="sk-SK"/>
              </w:rPr>
              <w:t>P261</w:t>
            </w:r>
          </w:p>
        </w:tc>
        <w:tc>
          <w:tcPr>
            <w:tcW w:w="7560" w:type="dxa"/>
            <w:tcBorders/>
            <w:shd w:fill="auto" w:val="clear"/>
          </w:tcPr>
          <w:p>
            <w:pPr>
              <w:pStyle w:val="Normal"/>
              <w:jc w:val="both"/>
              <w:rPr>
                <w:lang w:val="sk-SK"/>
              </w:rPr>
            </w:pPr>
            <w:r>
              <w:rPr>
                <w:lang w:val="sk-SK"/>
              </w:rPr>
              <w:t>Zabráňte vdychovaniu prachu/dymu/plynu/hmly/pár/aerosólov.</w:t>
            </w:r>
          </w:p>
        </w:tc>
      </w:tr>
      <w:tr>
        <w:trPr/>
        <w:tc>
          <w:tcPr>
            <w:tcW w:w="1653" w:type="dxa"/>
            <w:tcBorders/>
            <w:shd w:fill="auto" w:val="clear"/>
          </w:tcPr>
          <w:p>
            <w:pPr>
              <w:pStyle w:val="Normal"/>
              <w:jc w:val="both"/>
              <w:rPr>
                <w:lang w:val="sk-SK" w:eastAsia="sk-SK"/>
              </w:rPr>
            </w:pPr>
            <w:r>
              <w:rPr>
                <w:lang w:val="sk-SK" w:eastAsia="sk-SK"/>
              </w:rPr>
              <w:t>P264</w:t>
            </w:r>
          </w:p>
        </w:tc>
        <w:tc>
          <w:tcPr>
            <w:tcW w:w="7560" w:type="dxa"/>
            <w:tcBorders/>
            <w:shd w:fill="auto" w:val="clear"/>
          </w:tcPr>
          <w:p>
            <w:pPr>
              <w:pStyle w:val="Normal"/>
              <w:jc w:val="both"/>
              <w:rPr>
                <w:lang w:val="sk-SK"/>
              </w:rPr>
            </w:pPr>
            <w:r>
              <w:rPr>
                <w:lang w:val="sk-SK"/>
              </w:rPr>
              <w:t>Po manipulácii starostlivo umyte ruky a tvár vlažnou vodou a mydlom.</w:t>
            </w:r>
          </w:p>
        </w:tc>
      </w:tr>
      <w:tr>
        <w:trPr/>
        <w:tc>
          <w:tcPr>
            <w:tcW w:w="1653" w:type="dxa"/>
            <w:tcBorders/>
            <w:shd w:fill="auto" w:val="clear"/>
          </w:tcPr>
          <w:p>
            <w:pPr>
              <w:pStyle w:val="Normal"/>
              <w:jc w:val="both"/>
              <w:rPr>
                <w:lang w:val="sk-SK" w:eastAsia="sk-SK"/>
              </w:rPr>
            </w:pPr>
            <w:r>
              <w:rPr>
                <w:lang w:val="sk-SK" w:eastAsia="sk-SK"/>
              </w:rPr>
              <w:t>P280</w:t>
            </w:r>
          </w:p>
        </w:tc>
        <w:tc>
          <w:tcPr>
            <w:tcW w:w="7560" w:type="dxa"/>
            <w:tcBorders/>
            <w:shd w:fill="auto" w:val="clear"/>
          </w:tcPr>
          <w:p>
            <w:pPr>
              <w:pStyle w:val="Normal"/>
              <w:jc w:val="both"/>
              <w:rPr>
                <w:lang w:val="sk-SK"/>
              </w:rPr>
            </w:pPr>
            <w:r>
              <w:rPr>
                <w:lang w:val="sk-SK"/>
              </w:rPr>
              <w:t>Noste ochranné rukavice/ochranný odev/ochranné okuliare/ochranu tváre.</w:t>
            </w:r>
          </w:p>
        </w:tc>
      </w:tr>
      <w:tr>
        <w:trPr/>
        <w:tc>
          <w:tcPr>
            <w:tcW w:w="1653" w:type="dxa"/>
            <w:tcBorders/>
            <w:shd w:fill="auto" w:val="clear"/>
          </w:tcPr>
          <w:p>
            <w:pPr>
              <w:pStyle w:val="Normal"/>
              <w:jc w:val="both"/>
              <w:rPr>
                <w:lang w:val="sk-SK" w:eastAsia="sk-SK"/>
              </w:rPr>
            </w:pPr>
            <w:r>
              <w:rPr>
                <w:lang w:val="sk-SK" w:eastAsia="sk-SK"/>
              </w:rPr>
              <w:t>P333 + P313</w:t>
            </w:r>
          </w:p>
        </w:tc>
        <w:tc>
          <w:tcPr>
            <w:tcW w:w="7560" w:type="dxa"/>
            <w:tcBorders/>
            <w:shd w:fill="auto" w:val="clear"/>
          </w:tcPr>
          <w:p>
            <w:pPr>
              <w:pStyle w:val="Normal"/>
              <w:jc w:val="both"/>
              <w:rPr>
                <w:lang w:val="sk-SK"/>
              </w:rPr>
            </w:pPr>
            <w:r>
              <w:rPr>
                <w:lang w:val="sk-SK"/>
              </w:rPr>
              <w:t>Ak sa prejaví podráždenie pokožky alebo sa vytvoria vyrážky: vyhľadajte lekársku pomoc/starostlivosť.</w:t>
            </w:r>
          </w:p>
        </w:tc>
      </w:tr>
      <w:tr>
        <w:trPr/>
        <w:tc>
          <w:tcPr>
            <w:tcW w:w="1653" w:type="dxa"/>
            <w:tcBorders/>
            <w:shd w:fill="auto" w:val="clear"/>
          </w:tcPr>
          <w:p>
            <w:pPr>
              <w:pStyle w:val="Normal"/>
              <w:jc w:val="both"/>
              <w:rPr>
                <w:lang w:val="sk-SK" w:eastAsia="sk-SK"/>
              </w:rPr>
            </w:pPr>
            <w:r>
              <w:rPr>
                <w:lang w:val="sk-SK" w:eastAsia="sk-SK"/>
              </w:rPr>
              <w:t>P363</w:t>
            </w:r>
          </w:p>
        </w:tc>
        <w:tc>
          <w:tcPr>
            <w:tcW w:w="7560" w:type="dxa"/>
            <w:tcBorders/>
            <w:shd w:fill="auto" w:val="clear"/>
          </w:tcPr>
          <w:p>
            <w:pPr>
              <w:pStyle w:val="Normal"/>
              <w:jc w:val="both"/>
              <w:rPr>
                <w:lang w:val="sk-SK"/>
              </w:rPr>
            </w:pPr>
            <w:r>
              <w:rPr>
                <w:lang w:val="sk-SK"/>
              </w:rPr>
              <w:t>Kontaminovaný odev pred ďalším použitím vyperte.</w:t>
            </w:r>
          </w:p>
        </w:tc>
      </w:tr>
      <w:tr>
        <w:trPr/>
        <w:tc>
          <w:tcPr>
            <w:tcW w:w="1653" w:type="dxa"/>
            <w:tcBorders/>
            <w:shd w:fill="auto" w:val="clear"/>
          </w:tcPr>
          <w:p>
            <w:pPr>
              <w:pStyle w:val="Normal"/>
              <w:jc w:val="both"/>
              <w:rPr>
                <w:color w:val="A6A6A6" w:themeColor="background1" w:themeShade="a6"/>
                <w:lang w:val="sk-SK" w:eastAsia="sk-SK"/>
              </w:rPr>
            </w:pPr>
            <w:r>
              <w:rPr>
                <w:lang w:val="sk-SK" w:eastAsia="sk-SK"/>
              </w:rPr>
              <w:t>P</w:t>
            </w:r>
            <w:r>
              <w:rPr>
                <w:lang w:val="sk-SK"/>
              </w:rPr>
              <w:t>391</w:t>
            </w:r>
          </w:p>
        </w:tc>
        <w:tc>
          <w:tcPr>
            <w:tcW w:w="7560" w:type="dxa"/>
            <w:tcBorders/>
            <w:shd w:fill="auto" w:val="clear"/>
          </w:tcPr>
          <w:p>
            <w:pPr>
              <w:pStyle w:val="Normal"/>
              <w:jc w:val="both"/>
              <w:rPr>
                <w:color w:val="A6A6A6" w:themeColor="background1" w:themeShade="a6"/>
                <w:lang w:val="sk-SK" w:eastAsia="sk-SK"/>
              </w:rPr>
            </w:pPr>
            <w:r>
              <w:rPr>
                <w:lang w:val="sk-SK"/>
              </w:rPr>
              <w:t>Zozbierajte uniknutý produkt.</w:t>
            </w:r>
          </w:p>
        </w:tc>
      </w:tr>
      <w:tr>
        <w:trPr/>
        <w:tc>
          <w:tcPr>
            <w:tcW w:w="1653" w:type="dxa"/>
            <w:tcBorders/>
            <w:shd w:fill="auto" w:val="clear"/>
          </w:tcPr>
          <w:p>
            <w:pPr>
              <w:pStyle w:val="Normal"/>
              <w:jc w:val="both"/>
              <w:rPr>
                <w:lang w:val="sk-SK" w:eastAsia="sk-SK"/>
              </w:rPr>
            </w:pPr>
            <w:r>
              <w:rPr>
                <w:lang w:val="sk-SK"/>
              </w:rPr>
              <w:t>P501</w:t>
            </w:r>
          </w:p>
        </w:tc>
        <w:tc>
          <w:tcPr>
            <w:tcW w:w="7560" w:type="dxa"/>
            <w:tcBorders/>
            <w:shd w:fill="auto" w:val="clear"/>
          </w:tcPr>
          <w:p>
            <w:pPr>
              <w:pStyle w:val="Normal"/>
              <w:jc w:val="both"/>
              <w:rPr>
                <w:lang w:val="sk-SK"/>
              </w:rPr>
            </w:pPr>
            <w:r>
              <w:rPr>
                <w:lang w:val="sk-SK"/>
              </w:rPr>
              <w:t>Zneškodnite obsah/nádobu na oficiálnej skládke odpadu.</w:t>
            </w:r>
          </w:p>
        </w:tc>
      </w:tr>
      <w:tr>
        <w:trPr/>
        <w:tc>
          <w:tcPr>
            <w:tcW w:w="1653" w:type="dxa"/>
            <w:tcBorders/>
            <w:shd w:fill="auto" w:val="clear"/>
          </w:tcPr>
          <w:p>
            <w:pPr>
              <w:pStyle w:val="Normal"/>
              <w:jc w:val="both"/>
              <w:rPr>
                <w:lang w:val="sk-SK"/>
              </w:rPr>
            </w:pPr>
            <w:r>
              <w:rPr>
                <w:lang w:val="sk-SK"/>
              </w:rPr>
            </w:r>
          </w:p>
        </w:tc>
        <w:tc>
          <w:tcPr>
            <w:tcW w:w="7560" w:type="dxa"/>
            <w:tcBorders/>
            <w:shd w:fill="auto" w:val="clear"/>
          </w:tcPr>
          <w:p>
            <w:pPr>
              <w:pStyle w:val="Normal"/>
              <w:jc w:val="both"/>
              <w:rPr>
                <w:lang w:val="sk-SK"/>
              </w:rPr>
            </w:pPr>
            <w:r>
              <w:rPr>
                <w:lang w:val="sk-SK"/>
              </w:rPr>
            </w:r>
          </w:p>
        </w:tc>
      </w:tr>
      <w:tr>
        <w:trPr/>
        <w:tc>
          <w:tcPr>
            <w:tcW w:w="1653" w:type="dxa"/>
            <w:tcBorders/>
            <w:shd w:fill="auto" w:val="clear"/>
          </w:tcPr>
          <w:p>
            <w:pPr>
              <w:pStyle w:val="Normal"/>
              <w:jc w:val="both"/>
              <w:rPr>
                <w:b/>
                <w:b/>
                <w:lang w:val="sk-SK"/>
              </w:rPr>
            </w:pPr>
            <w:r>
              <w:rPr>
                <w:b/>
                <w:lang w:val="sk-SK"/>
              </w:rPr>
              <w:t>EUH208</w:t>
            </w:r>
          </w:p>
        </w:tc>
        <w:tc>
          <w:tcPr>
            <w:tcW w:w="7560" w:type="dxa"/>
            <w:tcBorders/>
            <w:shd w:fill="auto" w:val="clear"/>
          </w:tcPr>
          <w:p>
            <w:pPr>
              <w:pStyle w:val="Normal"/>
              <w:jc w:val="both"/>
              <w:rPr>
                <w:b/>
                <w:b/>
                <w:lang w:val="sk-SK"/>
              </w:rPr>
            </w:pPr>
            <w:r>
              <w:rPr>
                <w:b/>
                <w:lang w:val="sk-SK"/>
              </w:rPr>
              <w:t>Obsahuje cyprodinil. Môže vyvolať alergickú reakciu.</w:t>
            </w:r>
          </w:p>
        </w:tc>
      </w:tr>
      <w:tr>
        <w:trPr/>
        <w:tc>
          <w:tcPr>
            <w:tcW w:w="1653" w:type="dxa"/>
            <w:tcBorders/>
            <w:shd w:fill="auto" w:val="clear"/>
          </w:tcPr>
          <w:p>
            <w:pPr>
              <w:pStyle w:val="Normal"/>
              <w:jc w:val="both"/>
              <w:rPr>
                <w:b/>
                <w:b/>
                <w:lang w:val="sk-SK"/>
              </w:rPr>
            </w:pPr>
            <w:r>
              <w:rPr>
                <w:b/>
                <w:lang w:val="sk-SK"/>
              </w:rPr>
              <w:t xml:space="preserve">EUH401 </w:t>
            </w:r>
          </w:p>
        </w:tc>
        <w:tc>
          <w:tcPr>
            <w:tcW w:w="7560" w:type="dxa"/>
            <w:tcBorders/>
            <w:shd w:fill="auto" w:val="clear"/>
          </w:tcPr>
          <w:p>
            <w:pPr>
              <w:pStyle w:val="Normal"/>
              <w:jc w:val="both"/>
              <w:rPr>
                <w:b/>
                <w:b/>
                <w:lang w:val="sk-SK"/>
              </w:rPr>
            </w:pPr>
            <w:r>
              <w:rPr>
                <w:b/>
                <w:lang w:val="sk-SK"/>
              </w:rPr>
              <w:t>Dodržiavajte návod na používanie, aby ste zabránili vzniku rizík pre zdravie ľudí a životné prostredie.</w:t>
            </w:r>
          </w:p>
        </w:tc>
      </w:tr>
      <w:tr>
        <w:trPr/>
        <w:tc>
          <w:tcPr>
            <w:tcW w:w="1653" w:type="dxa"/>
            <w:tcBorders/>
            <w:shd w:fill="auto" w:val="clear"/>
          </w:tcPr>
          <w:p>
            <w:pPr>
              <w:pStyle w:val="Normal"/>
              <w:jc w:val="both"/>
              <w:rPr>
                <w:b/>
                <w:b/>
                <w:lang w:val="sk-SK"/>
              </w:rPr>
            </w:pPr>
            <w:r>
              <w:rPr>
                <w:b/>
                <w:lang w:val="sk-SK"/>
              </w:rPr>
            </w:r>
          </w:p>
        </w:tc>
        <w:tc>
          <w:tcPr>
            <w:tcW w:w="7560" w:type="dxa"/>
            <w:tcBorders/>
            <w:shd w:fill="auto" w:val="clear"/>
          </w:tcPr>
          <w:p>
            <w:pPr>
              <w:pStyle w:val="Normal"/>
              <w:jc w:val="both"/>
              <w:rPr>
                <w:b/>
                <w:b/>
                <w:lang w:val="sk-SK"/>
              </w:rPr>
            </w:pPr>
            <w:r>
              <w:rPr>
                <w:b/>
                <w:lang w:val="sk-SK"/>
              </w:rPr>
            </w:r>
          </w:p>
        </w:tc>
      </w:tr>
    </w:tbl>
    <w:p>
      <w:pPr>
        <w:pStyle w:val="Normal"/>
        <w:ind w:left="993" w:hanging="993"/>
        <w:jc w:val="both"/>
        <w:rPr>
          <w:b/>
          <w:b/>
          <w:lang w:val="sk-SK"/>
        </w:rPr>
      </w:pPr>
      <w:r>
        <w:rPr>
          <w:b/>
          <w:lang w:val="sk-SK"/>
        </w:rPr>
        <w:t>SP1</w:t>
        <w:tab/>
        <w:t>Neznečisťujte vodu prípravkom alebo jeho obalom (Nečistite aplikačné zariadenie v blízkosti povrchových vôd/Zabráňte kontaminácii prostredníctvom odtokových kanálov z poľnohospodárskych dvorov a vozoviek).</w:t>
      </w:r>
    </w:p>
    <w:p>
      <w:pPr>
        <w:pStyle w:val="Normal"/>
        <w:ind w:left="993" w:hanging="993"/>
        <w:jc w:val="both"/>
        <w:rPr>
          <w:b/>
          <w:b/>
          <w:lang w:val="sk-SK"/>
        </w:rPr>
      </w:pPr>
      <w:r>
        <w:rPr>
          <w:b/>
          <w:lang w:val="sk-SK"/>
        </w:rPr>
        <w:t>SPe3</w:t>
        <w:tab/>
        <w:t>Z dôvodu ochrany vodných organizmov udržiavajte medzi ošetrovanou plochou a povrchovými vodnými plochami ochranný pás zeme v dĺžke 10 m.</w:t>
      </w:r>
    </w:p>
    <w:p>
      <w:pPr>
        <w:pStyle w:val="Normal"/>
        <w:ind w:left="993" w:hanging="993"/>
        <w:rPr>
          <w:lang w:val="sk-SK"/>
        </w:rPr>
      </w:pPr>
      <w:r>
        <w:rPr>
          <w:lang w:val="sk-SK"/>
        </w:rPr>
      </w:r>
    </w:p>
    <w:p>
      <w:pPr>
        <w:pStyle w:val="Normal"/>
        <w:ind w:left="993" w:hanging="993"/>
        <w:rPr>
          <w:lang w:val="sk-SK"/>
        </w:rPr>
      </w:pPr>
      <w:r>
        <w:rPr>
          <w:lang w:val="sk-SK"/>
        </w:rPr>
      </w:r>
    </w:p>
    <w:p>
      <w:pPr>
        <w:pStyle w:val="Normal"/>
        <w:ind w:left="993" w:hanging="993"/>
        <w:rPr>
          <w:lang w:val="sk-SK"/>
        </w:rPr>
      </w:pPr>
      <w:r>
        <w:rPr>
          <w:lang w:val="sk-SK"/>
        </w:rPr>
      </w:r>
    </w:p>
    <w:p>
      <w:pPr>
        <w:pStyle w:val="Normal"/>
        <w:ind w:left="567" w:hanging="567"/>
        <w:jc w:val="both"/>
        <w:rPr>
          <w:b/>
          <w:b/>
          <w:lang w:val="sk-SK"/>
        </w:rPr>
      </w:pPr>
      <w:r>
        <w:rPr>
          <w:b/>
          <w:lang w:val="sk-SK"/>
        </w:rPr>
        <w:t>Z4</w:t>
        <w:tab/>
        <w:t>Riziko vyplývajúce z použitia prípravku pri dodržaní predpísanej dávky alebo koncentrácie je pre domáce, hospodárske a voľne žijúce zvieratá relatívne prijateľné.</w:t>
      </w:r>
    </w:p>
    <w:p>
      <w:pPr>
        <w:pStyle w:val="Normal"/>
        <w:ind w:left="567" w:hanging="567"/>
        <w:jc w:val="both"/>
        <w:rPr>
          <w:b/>
          <w:b/>
          <w:lang w:val="sk-SK"/>
        </w:rPr>
      </w:pPr>
      <w:r>
        <w:rPr>
          <w:b/>
          <w:lang w:val="sk-SK"/>
        </w:rPr>
        <w:t>Vt5</w:t>
        <w:tab/>
        <w:t>Riziko vyplývajúce z použitia prípravku pri dodržaní predpísanej dávky alebo koncentrácie je pre vtáky prijateľné.</w:t>
      </w:r>
    </w:p>
    <w:p>
      <w:pPr>
        <w:pStyle w:val="Normal"/>
        <w:ind w:left="567" w:hanging="567"/>
        <w:jc w:val="both"/>
        <w:rPr>
          <w:b/>
          <w:b/>
          <w:lang w:val="sk-SK"/>
        </w:rPr>
      </w:pPr>
      <w:r>
        <w:rPr>
          <w:b/>
          <w:lang w:val="sk-SK"/>
        </w:rPr>
        <w:t>Vo1</w:t>
        <w:tab/>
        <w:t>Pre ryby a ostatné vodné organizmy mimoriadne jedovatý</w:t>
      </w:r>
    </w:p>
    <w:p>
      <w:pPr>
        <w:pStyle w:val="Normal"/>
        <w:ind w:left="567" w:hanging="567"/>
        <w:jc w:val="both"/>
        <w:rPr>
          <w:b/>
          <w:b/>
          <w:lang w:val="sk-SK"/>
        </w:rPr>
      </w:pPr>
      <w:r>
        <w:rPr>
          <w:b/>
          <w:lang w:val="sk-SK"/>
        </w:rPr>
        <w:t>V3</w:t>
        <w:tab/>
        <w:t>Riziko prípravku je prijateľné pre dážďovky a iné pôdne makroorganizmy.</w:t>
      </w:r>
    </w:p>
    <w:p>
      <w:pPr>
        <w:pStyle w:val="Normal"/>
        <w:ind w:left="567" w:hanging="567"/>
        <w:jc w:val="both"/>
        <w:rPr>
          <w:b/>
          <w:b/>
          <w:i/>
          <w:i/>
          <w:lang w:val="sk-SK"/>
        </w:rPr>
      </w:pPr>
      <w:r>
        <w:rPr>
          <w:b/>
          <w:lang w:val="sk-SK"/>
        </w:rPr>
        <w:t>Vč3</w:t>
        <w:tab/>
        <w:t xml:space="preserve">Prípravok pre včely s prijateľným rizikom pri dodržaní predpísanej dávky alebo koncentrácie. Prípravok je pre populácie </w:t>
      </w:r>
      <w:r>
        <w:rPr>
          <w:b/>
          <w:i/>
          <w:lang w:val="sk-SK"/>
        </w:rPr>
        <w:t>Aphidius rhopalosiphi</w:t>
      </w:r>
      <w:r>
        <w:rPr>
          <w:b/>
          <w:lang w:val="sk-SK"/>
        </w:rPr>
        <w:t xml:space="preserve"> a </w:t>
      </w:r>
      <w:r>
        <w:rPr>
          <w:b/>
          <w:i/>
          <w:lang w:val="sk-SK"/>
        </w:rPr>
        <w:t>Typhlodromus pyri</w:t>
      </w:r>
      <w:r>
        <w:rPr>
          <w:b/>
          <w:lang w:val="sk-SK"/>
        </w:rPr>
        <w:t xml:space="preserve"> s prijateľným rizikom. Prípravok je škodlivý pre populácie </w:t>
      </w:r>
      <w:r>
        <w:rPr>
          <w:b/>
          <w:i/>
          <w:lang w:val="sk-SK"/>
        </w:rPr>
        <w:t>Coccinella septempunctata.</w:t>
      </w:r>
    </w:p>
    <w:p>
      <w:pPr>
        <w:pStyle w:val="Normal"/>
        <w:ind w:left="567" w:hanging="567"/>
        <w:jc w:val="both"/>
        <w:rPr>
          <w:lang w:val="sk-SK"/>
        </w:rPr>
      </w:pPr>
      <w:r>
        <w:rPr>
          <w:lang w:val="sk-SK"/>
        </w:rPr>
      </w:r>
    </w:p>
    <w:p>
      <w:pPr>
        <w:pStyle w:val="Odrazka"/>
        <w:ind w:left="0" w:hanging="0"/>
        <w:rPr>
          <w:b/>
          <w:b/>
          <w:szCs w:val="24"/>
          <w:lang w:val="sk-SK"/>
        </w:rPr>
      </w:pPr>
      <w:r>
        <w:rPr>
          <w:b/>
          <w:szCs w:val="24"/>
          <w:lang w:val="sk-SK"/>
        </w:rPr>
        <w:t>Zákaz používania prípravku v 1. ochrannom pásme zdrojov pitných vôd!</w:t>
      </w:r>
    </w:p>
    <w:p>
      <w:pPr>
        <w:pStyle w:val="Odrazka"/>
        <w:ind w:left="0" w:hanging="0"/>
        <w:rPr>
          <w:b/>
          <w:b/>
          <w:szCs w:val="24"/>
          <w:lang w:val="sk-SK"/>
        </w:rPr>
      </w:pPr>
      <w:r>
        <w:rPr>
          <w:b/>
          <w:szCs w:val="24"/>
          <w:lang w:val="sk-SK"/>
        </w:rPr>
        <w:t>Dbajte o to, aby sa prípravok v žiadnom prípade nedostal do tečúcich a stojatých vôd vo voľnej prírode !</w:t>
      </w:r>
    </w:p>
    <w:p>
      <w:pPr>
        <w:pStyle w:val="Odrazka"/>
        <w:ind w:left="0" w:hanging="0"/>
        <w:rPr>
          <w:b/>
          <w:b/>
          <w:szCs w:val="24"/>
          <w:lang w:val="sk-SK"/>
        </w:rPr>
      </w:pPr>
      <w:r>
        <w:rPr>
          <w:b/>
          <w:szCs w:val="24"/>
          <w:lang w:val="sk-SK"/>
        </w:rPr>
        <w:t>Neaplikujte v blízkosti hladín tečúcich a stojatých vôd ! Dodržujte ochrannú zónu !</w:t>
      </w:r>
    </w:p>
    <w:p>
      <w:pPr>
        <w:pStyle w:val="Odrazka"/>
        <w:ind w:left="0" w:hanging="0"/>
        <w:rPr>
          <w:b/>
          <w:b/>
          <w:szCs w:val="24"/>
          <w:lang w:val="sk-SK"/>
        </w:rPr>
      </w:pPr>
      <w:r>
        <w:rPr>
          <w:b/>
          <w:szCs w:val="24"/>
          <w:lang w:val="sk-SK"/>
        </w:rPr>
        <w:t>Uložte mimo dosahu zvierat !</w:t>
      </w:r>
    </w:p>
    <w:p>
      <w:pPr>
        <w:pStyle w:val="Odrazka"/>
        <w:ind w:left="0" w:hanging="0"/>
        <w:rPr>
          <w:b/>
          <w:b/>
          <w:caps/>
          <w:lang w:val="sk-SK"/>
        </w:rPr>
      </w:pPr>
      <w:r>
        <w:rPr>
          <w:b/>
          <w:lang w:val="sk-SK"/>
        </w:rPr>
        <w:t>Zabráňte ohrozeniu človeka a životného prostredia, postupujte podľa návodu na použitie!</w:t>
      </w:r>
    </w:p>
    <w:p>
      <w:pPr>
        <w:pStyle w:val="Odrazka"/>
        <w:ind w:left="0" w:hanging="0"/>
        <w:rPr>
          <w:bCs/>
          <w:caps/>
          <w:lang w:val="sk-SK"/>
        </w:rPr>
      </w:pPr>
      <w:r>
        <w:rPr>
          <w:bCs/>
          <w:caps/>
          <w:lang w:val="sk-SK"/>
        </w:rPr>
        <w:t>PRÍPRAVOK V TOMTO VEĽKOSPOTREBITEĽSKOM BALENÍ NESMIE BYŤ PONÚKANÝ ALEBO PREDÁVANÝ ŠIROKEJ VEREJNOSTI!</w:t>
      </w:r>
    </w:p>
    <w:p>
      <w:pPr>
        <w:pStyle w:val="Hustynormal"/>
        <w:numPr>
          <w:ilvl w:val="0"/>
          <w:numId w:val="0"/>
        </w:numPr>
        <w:spacing w:before="0" w:after="0"/>
        <w:rPr>
          <w:szCs w:val="24"/>
          <w:lang w:val="sk-SK"/>
        </w:rPr>
      </w:pPr>
      <w:r>
        <w:rPr>
          <w:szCs w:val="24"/>
          <w:lang w:val="sk-SK"/>
        </w:rPr>
      </w:r>
    </w:p>
    <w:tbl>
      <w:tblPr>
        <w:tblW w:w="9104" w:type="dxa"/>
        <w:jc w:val="left"/>
        <w:tblInd w:w="-34" w:type="dxa"/>
        <w:tblBorders/>
        <w:tblCellMar>
          <w:top w:w="0" w:type="dxa"/>
          <w:left w:w="108" w:type="dxa"/>
          <w:bottom w:w="0" w:type="dxa"/>
          <w:right w:w="108" w:type="dxa"/>
        </w:tblCellMar>
        <w:tblLook w:firstRow="1" w:noVBand="0" w:lastRow="0" w:firstColumn="1" w:lastColumn="0" w:noHBand="0" w:val="00a0"/>
      </w:tblPr>
      <w:tblGrid>
        <w:gridCol w:w="3509"/>
        <w:gridCol w:w="5594"/>
      </w:tblGrid>
      <w:tr>
        <w:trPr/>
        <w:tc>
          <w:tcPr>
            <w:tcW w:w="3509" w:type="dxa"/>
            <w:tcBorders/>
            <w:shd w:color="auto" w:fill="auto" w:val="clear"/>
          </w:tcPr>
          <w:p>
            <w:pPr>
              <w:pStyle w:val="Normal"/>
              <w:rPr>
                <w:b/>
                <w:b/>
                <w:bCs/>
                <w:lang w:val="sk-SK"/>
              </w:rPr>
            </w:pPr>
            <w:r>
              <w:rPr>
                <w:b/>
                <w:bCs/>
                <w:lang w:val="sk-SK"/>
              </w:rPr>
              <w:t>Výrobca:</w:t>
            </w:r>
          </w:p>
        </w:tc>
        <w:tc>
          <w:tcPr>
            <w:tcW w:w="5594" w:type="dxa"/>
            <w:tcBorders/>
            <w:shd w:color="auto" w:fill="auto" w:val="clear"/>
          </w:tcPr>
          <w:p>
            <w:pPr>
              <w:pStyle w:val="Normal"/>
              <w:jc w:val="both"/>
              <w:rPr>
                <w:bCs/>
                <w:lang w:val="sk-SK"/>
              </w:rPr>
            </w:pPr>
            <w:r>
              <w:rPr>
                <w:bCs/>
                <w:lang w:val="sk-SK"/>
              </w:rPr>
              <w:t>Syngenta Crop Protection AG</w:t>
            </w:r>
          </w:p>
          <w:p>
            <w:pPr>
              <w:pStyle w:val="Normal"/>
              <w:jc w:val="both"/>
              <w:rPr>
                <w:bCs/>
                <w:lang w:val="sk-SK"/>
              </w:rPr>
            </w:pPr>
            <w:r>
              <w:rPr>
                <w:bCs/>
                <w:lang w:val="sk-SK"/>
              </w:rPr>
              <w:t>Schwarzwaldallee 215, 4058 Basel</w:t>
            </w:r>
          </w:p>
          <w:p>
            <w:pPr>
              <w:pStyle w:val="Normal"/>
              <w:tabs>
                <w:tab w:val="left" w:pos="3969" w:leader="none"/>
              </w:tabs>
              <w:rPr>
                <w:b/>
                <w:b/>
                <w:bCs/>
                <w:lang w:val="sk-SK"/>
              </w:rPr>
            </w:pPr>
            <w:r>
              <w:rPr>
                <w:bCs/>
                <w:lang w:val="sk-SK"/>
              </w:rPr>
              <w:t>Švajčiarska konfederácia</w:t>
            </w:r>
          </w:p>
        </w:tc>
      </w:tr>
      <w:tr>
        <w:trPr/>
        <w:tc>
          <w:tcPr>
            <w:tcW w:w="9103" w:type="dxa"/>
            <w:gridSpan w:val="2"/>
            <w:tcBorders/>
            <w:shd w:color="auto" w:fill="auto" w:val="clear"/>
          </w:tcPr>
          <w:p>
            <w:pPr>
              <w:pStyle w:val="Normal"/>
              <w:tabs>
                <w:tab w:val="left" w:pos="3969" w:leader="none"/>
              </w:tabs>
              <w:rPr>
                <w:b/>
                <w:b/>
                <w:bCs/>
                <w:lang w:val="sk-SK"/>
              </w:rPr>
            </w:pPr>
            <w:r>
              <w:rPr>
                <w:b/>
                <w:bCs/>
                <w:lang w:val="sk-SK"/>
              </w:rPr>
            </w:r>
          </w:p>
        </w:tc>
      </w:tr>
      <w:tr>
        <w:trPr/>
        <w:tc>
          <w:tcPr>
            <w:tcW w:w="3509" w:type="dxa"/>
            <w:tcBorders/>
            <w:shd w:color="auto" w:fill="auto" w:val="clear"/>
          </w:tcPr>
          <w:p>
            <w:pPr>
              <w:pStyle w:val="Normal"/>
              <w:rPr>
                <w:b/>
                <w:b/>
                <w:bCs/>
                <w:lang w:val="sk-SK"/>
              </w:rPr>
            </w:pPr>
            <w:r>
              <w:rPr>
                <w:b/>
                <w:bCs/>
                <w:lang w:val="sk-SK"/>
              </w:rPr>
              <w:t xml:space="preserve">Držiteľ autorizácie: </w:t>
            </w:r>
          </w:p>
        </w:tc>
        <w:tc>
          <w:tcPr>
            <w:tcW w:w="5594" w:type="dxa"/>
            <w:tcBorders/>
            <w:shd w:color="auto" w:fill="auto" w:val="clear"/>
          </w:tcPr>
          <w:p>
            <w:pPr>
              <w:pStyle w:val="Normal"/>
              <w:jc w:val="both"/>
              <w:rPr>
                <w:bCs/>
                <w:lang w:val="sk-SK"/>
              </w:rPr>
            </w:pPr>
            <w:r>
              <w:rPr>
                <w:bCs/>
                <w:lang w:val="sk-SK"/>
              </w:rPr>
              <w:t>Syngenta Slovakia s.r.o.</w:t>
            </w:r>
          </w:p>
          <w:p>
            <w:pPr>
              <w:pStyle w:val="Normal"/>
              <w:jc w:val="both"/>
              <w:rPr>
                <w:bCs/>
                <w:lang w:val="sk-SK"/>
              </w:rPr>
            </w:pPr>
            <w:r>
              <w:rPr>
                <w:bCs/>
                <w:lang w:val="sk-SK"/>
              </w:rPr>
              <w:t>Prievozská 4/D, 821 09 Bratislava</w:t>
            </w:r>
          </w:p>
          <w:p>
            <w:pPr>
              <w:pStyle w:val="Normal"/>
              <w:tabs>
                <w:tab w:val="left" w:pos="3969" w:leader="none"/>
              </w:tabs>
              <w:rPr>
                <w:bCs/>
                <w:color w:val="A6A6A6" w:themeColor="background1" w:themeShade="a6"/>
                <w:lang w:val="sk-SK"/>
              </w:rPr>
            </w:pPr>
            <w:r>
              <w:rPr>
                <w:bCs/>
                <w:lang w:val="sk-SK"/>
              </w:rPr>
              <w:t>Slovenská republika</w:t>
            </w:r>
          </w:p>
        </w:tc>
      </w:tr>
      <w:tr>
        <w:trPr/>
        <w:tc>
          <w:tcPr>
            <w:tcW w:w="3509" w:type="dxa"/>
            <w:tcBorders/>
            <w:shd w:color="auto" w:fill="auto" w:val="clear"/>
          </w:tcPr>
          <w:p>
            <w:pPr>
              <w:pStyle w:val="Normal"/>
              <w:jc w:val="right"/>
              <w:rPr>
                <w:b/>
                <w:b/>
                <w:bCs/>
                <w:lang w:val="sk-SK"/>
              </w:rPr>
            </w:pPr>
            <w:r>
              <w:rPr>
                <w:b/>
                <w:bCs/>
                <w:lang w:val="sk-SK"/>
              </w:rPr>
            </w:r>
          </w:p>
        </w:tc>
        <w:tc>
          <w:tcPr>
            <w:tcW w:w="5594" w:type="dxa"/>
            <w:tcBorders/>
            <w:shd w:color="auto" w:fill="auto" w:val="clear"/>
          </w:tcPr>
          <w:p>
            <w:pPr>
              <w:pStyle w:val="Normal"/>
              <w:tabs>
                <w:tab w:val="left" w:pos="3969" w:leader="none"/>
              </w:tabs>
              <w:rPr>
                <w:bCs/>
                <w:color w:val="A6A6A6" w:themeColor="background1" w:themeShade="a6"/>
                <w:lang w:val="sk-SK"/>
              </w:rPr>
            </w:pPr>
            <w:r>
              <w:rPr>
                <w:bCs/>
                <w:color w:val="A6A6A6" w:themeColor="background1" w:themeShade="a6"/>
                <w:lang w:val="sk-SK"/>
              </w:rPr>
            </w:r>
          </w:p>
        </w:tc>
      </w:tr>
      <w:tr>
        <w:trPr/>
        <w:tc>
          <w:tcPr>
            <w:tcW w:w="3509" w:type="dxa"/>
            <w:tcBorders/>
            <w:shd w:color="auto" w:fill="auto" w:val="clear"/>
          </w:tcPr>
          <w:p>
            <w:pPr>
              <w:pStyle w:val="Normal"/>
              <w:tabs>
                <w:tab w:val="left" w:pos="3969" w:leader="none"/>
              </w:tabs>
              <w:rPr>
                <w:b/>
                <w:b/>
                <w:bCs/>
                <w:lang w:val="sk-SK"/>
              </w:rPr>
            </w:pPr>
            <w:r>
              <w:rPr>
                <w:b/>
                <w:bCs/>
                <w:lang w:val="sk-SK"/>
              </w:rPr>
              <w:t>Číslo autorizácie ÚKSÚP</w:t>
            </w:r>
            <w:r>
              <w:rPr>
                <w:lang w:val="sk-SK"/>
              </w:rPr>
              <w:t xml:space="preserve">:    </w:t>
            </w:r>
          </w:p>
        </w:tc>
        <w:tc>
          <w:tcPr>
            <w:tcW w:w="5594" w:type="dxa"/>
            <w:tcBorders/>
            <w:shd w:color="auto" w:fill="auto" w:val="clear"/>
          </w:tcPr>
          <w:p>
            <w:pPr>
              <w:pStyle w:val="Normal"/>
              <w:tabs>
                <w:tab w:val="left" w:pos="3969" w:leader="none"/>
              </w:tabs>
              <w:rPr>
                <w:b/>
                <w:b/>
                <w:bCs/>
                <w:color w:val="A6A6A6" w:themeColor="background1" w:themeShade="a6"/>
                <w:lang w:val="sk-SK"/>
              </w:rPr>
            </w:pPr>
            <w:r>
              <w:rPr>
                <w:b/>
                <w:sz w:val="28"/>
                <w:szCs w:val="28"/>
                <w:lang w:val="sk-SK"/>
              </w:rPr>
              <w:t>19-00615-AU</w:t>
            </w:r>
          </w:p>
        </w:tc>
      </w:tr>
      <w:tr>
        <w:trPr/>
        <w:tc>
          <w:tcPr>
            <w:tcW w:w="3509" w:type="dxa"/>
            <w:tcBorders/>
            <w:shd w:color="auto" w:fill="auto" w:val="clear"/>
          </w:tcPr>
          <w:p>
            <w:pPr>
              <w:pStyle w:val="Normal"/>
              <w:tabs>
                <w:tab w:val="left" w:pos="3969" w:leader="none"/>
              </w:tabs>
              <w:rPr>
                <w:b/>
                <w:b/>
                <w:bCs/>
                <w:lang w:val="sk-SK"/>
              </w:rPr>
            </w:pPr>
            <w:r>
              <w:rPr>
                <w:b/>
                <w:bCs/>
                <w:lang w:val="sk-SK"/>
              </w:rPr>
            </w:r>
          </w:p>
        </w:tc>
        <w:tc>
          <w:tcPr>
            <w:tcW w:w="5594" w:type="dxa"/>
            <w:tcBorders/>
            <w:shd w:color="auto" w:fill="auto" w:val="clear"/>
          </w:tcPr>
          <w:p>
            <w:pPr>
              <w:pStyle w:val="Normal"/>
              <w:tabs>
                <w:tab w:val="left" w:pos="3969" w:leader="none"/>
              </w:tabs>
              <w:rPr>
                <w:b/>
                <w:b/>
                <w:color w:val="A6A6A6" w:themeColor="background1" w:themeShade="a6"/>
                <w:lang w:val="sk-SK"/>
              </w:rPr>
            </w:pPr>
            <w:r>
              <w:rPr>
                <w:b/>
                <w:color w:val="A6A6A6" w:themeColor="background1" w:themeShade="a6"/>
                <w:lang w:val="sk-SK"/>
              </w:rPr>
            </w:r>
          </w:p>
        </w:tc>
      </w:tr>
      <w:tr>
        <w:trPr/>
        <w:tc>
          <w:tcPr>
            <w:tcW w:w="3509" w:type="dxa"/>
            <w:tcBorders/>
            <w:shd w:color="auto" w:fill="auto" w:val="clear"/>
          </w:tcPr>
          <w:p>
            <w:pPr>
              <w:pStyle w:val="Normal"/>
              <w:tabs>
                <w:tab w:val="left" w:pos="3969" w:leader="none"/>
              </w:tabs>
              <w:rPr>
                <w:b/>
                <w:b/>
                <w:bCs/>
                <w:lang w:val="sk-SK"/>
              </w:rPr>
            </w:pPr>
            <w:r>
              <w:rPr>
                <w:b/>
                <w:bCs/>
                <w:lang w:val="sk-SK"/>
              </w:rPr>
              <w:t>Dátum výroby</w:t>
            </w:r>
            <w:r>
              <w:rPr>
                <w:lang w:val="sk-SK"/>
              </w:rPr>
              <w:t>:</w:t>
            </w:r>
          </w:p>
        </w:tc>
        <w:tc>
          <w:tcPr>
            <w:tcW w:w="5594" w:type="dxa"/>
            <w:tcBorders/>
            <w:shd w:color="auto" w:fill="auto" w:val="clear"/>
          </w:tcPr>
          <w:p>
            <w:pPr>
              <w:pStyle w:val="Normal"/>
              <w:tabs>
                <w:tab w:val="left" w:pos="3969" w:leader="none"/>
              </w:tabs>
              <w:rPr>
                <w:b/>
                <w:b/>
                <w:bCs/>
                <w:lang w:val="sk-SK"/>
              </w:rPr>
            </w:pPr>
            <w:r>
              <w:rPr>
                <w:lang w:val="sk-SK"/>
              </w:rPr>
              <w:t>uvedené na obale</w:t>
            </w:r>
          </w:p>
        </w:tc>
      </w:tr>
      <w:tr>
        <w:trPr/>
        <w:tc>
          <w:tcPr>
            <w:tcW w:w="3509" w:type="dxa"/>
            <w:tcBorders/>
            <w:shd w:color="auto" w:fill="auto" w:val="clear"/>
          </w:tcPr>
          <w:p>
            <w:pPr>
              <w:pStyle w:val="Normal"/>
              <w:tabs>
                <w:tab w:val="left" w:pos="3969" w:leader="none"/>
              </w:tabs>
              <w:rPr>
                <w:b/>
                <w:b/>
                <w:bCs/>
                <w:lang w:val="sk-SK"/>
              </w:rPr>
            </w:pPr>
            <w:r>
              <w:rPr>
                <w:b/>
                <w:bCs/>
                <w:lang w:val="sk-SK"/>
              </w:rPr>
              <w:t>Číslo výrobnej šarže</w:t>
            </w:r>
            <w:r>
              <w:rPr>
                <w:lang w:val="sk-SK"/>
              </w:rPr>
              <w:t>:</w:t>
            </w:r>
          </w:p>
        </w:tc>
        <w:tc>
          <w:tcPr>
            <w:tcW w:w="5594" w:type="dxa"/>
            <w:tcBorders/>
            <w:shd w:color="auto" w:fill="auto" w:val="clear"/>
          </w:tcPr>
          <w:p>
            <w:pPr>
              <w:pStyle w:val="Normal"/>
              <w:tabs>
                <w:tab w:val="left" w:pos="3969" w:leader="none"/>
              </w:tabs>
              <w:rPr>
                <w:b/>
                <w:b/>
                <w:bCs/>
                <w:lang w:val="sk-SK"/>
              </w:rPr>
            </w:pPr>
            <w:r>
              <w:rPr>
                <w:lang w:val="sk-SK"/>
              </w:rPr>
              <w:t>uvedené na obale</w:t>
            </w:r>
          </w:p>
        </w:tc>
      </w:tr>
      <w:tr>
        <w:trPr/>
        <w:tc>
          <w:tcPr>
            <w:tcW w:w="3509" w:type="dxa"/>
            <w:tcBorders/>
            <w:shd w:color="auto" w:fill="auto" w:val="clear"/>
          </w:tcPr>
          <w:p>
            <w:pPr>
              <w:pStyle w:val="Normal"/>
              <w:tabs>
                <w:tab w:val="left" w:pos="3969" w:leader="none"/>
              </w:tabs>
              <w:rPr>
                <w:b/>
                <w:b/>
                <w:bCs/>
                <w:lang w:val="sk-SK"/>
              </w:rPr>
            </w:pPr>
            <w:r>
              <w:rPr>
                <w:b/>
                <w:bCs/>
                <w:lang w:val="sk-SK"/>
              </w:rPr>
            </w:r>
          </w:p>
        </w:tc>
        <w:tc>
          <w:tcPr>
            <w:tcW w:w="5594" w:type="dxa"/>
            <w:tcBorders/>
            <w:shd w:color="auto" w:fill="auto" w:val="clear"/>
          </w:tcPr>
          <w:p>
            <w:pPr>
              <w:pStyle w:val="Normal"/>
              <w:tabs>
                <w:tab w:val="left" w:pos="3969" w:leader="none"/>
              </w:tabs>
              <w:rPr>
                <w:lang w:val="sk-SK"/>
              </w:rPr>
            </w:pPr>
            <w:r>
              <w:rPr>
                <w:lang w:val="sk-SK"/>
              </w:rPr>
            </w:r>
          </w:p>
        </w:tc>
      </w:tr>
      <w:tr>
        <w:trPr/>
        <w:tc>
          <w:tcPr>
            <w:tcW w:w="3509" w:type="dxa"/>
            <w:tcBorders/>
            <w:shd w:color="auto" w:fill="auto" w:val="clear"/>
          </w:tcPr>
          <w:p>
            <w:pPr>
              <w:pStyle w:val="Normal"/>
              <w:tabs>
                <w:tab w:val="left" w:pos="3969" w:leader="none"/>
              </w:tabs>
              <w:rPr>
                <w:b/>
                <w:b/>
                <w:bCs/>
                <w:color w:val="A6A6A6" w:themeColor="background1" w:themeShade="a6"/>
                <w:lang w:val="sk-SK"/>
              </w:rPr>
            </w:pPr>
            <w:r>
              <w:rPr>
                <w:b/>
                <w:bCs/>
                <w:lang w:val="sk-SK"/>
              </w:rPr>
              <w:t xml:space="preserve">Balenie: </w:t>
            </w:r>
          </w:p>
        </w:tc>
        <w:tc>
          <w:tcPr>
            <w:tcW w:w="5594" w:type="dxa"/>
            <w:tcBorders/>
            <w:shd w:color="auto" w:fill="auto" w:val="clear"/>
          </w:tcPr>
          <w:p>
            <w:pPr>
              <w:pStyle w:val="Normal"/>
              <w:rPr>
                <w:lang w:val="sk-SK"/>
              </w:rPr>
            </w:pPr>
            <w:r>
              <w:rPr>
                <w:lang w:val="sk-SK"/>
              </w:rPr>
              <w:t>0,5 kg, 1 kg, 5 kg PAP/PET/AL/PE škatuľa</w:t>
            </w:r>
          </w:p>
        </w:tc>
      </w:tr>
    </w:tbl>
    <w:p>
      <w:pPr>
        <w:pStyle w:val="Normal"/>
        <w:rPr>
          <w:bCs/>
          <w:lang w:val="sk-SK"/>
        </w:rPr>
      </w:pPr>
      <w:r>
        <w:rPr>
          <w:bCs/>
          <w:lang w:val="sk-SK"/>
        </w:rPr>
      </w:r>
    </w:p>
    <w:p>
      <w:pPr>
        <w:pStyle w:val="BodyText2"/>
        <w:spacing w:lineRule="auto" w:line="240" w:before="0" w:after="0"/>
        <w:rPr/>
      </w:pPr>
      <w:r>
        <w:fldChar w:fldCharType="begin"/>
      </w:r>
      <w:r>
        <w:instrText>SYMBOL 210 \f "Symbol"</w:instrText>
      </w:r>
      <w:r>
        <w:fldChar w:fldCharType="separate"/>
      </w:r>
      <w:bookmarkStart w:id="0" w:name="__Fieldmark__10183_2392320463"/>
      <w:r>
        <w:rPr/>
      </w:r>
      <w:r>
        <w:rPr/>
      </w:r>
      <w:r>
        <w:fldChar w:fldCharType="end"/>
      </w:r>
      <w:bookmarkEnd w:id="0"/>
      <w:r>
        <w:rPr>
          <w:b/>
          <w:bCs/>
          <w:vertAlign w:val="superscript"/>
          <w:lang w:val="sk-SK"/>
        </w:rPr>
        <w:t xml:space="preserve"> </w:t>
      </w:r>
      <w:r>
        <w:rPr>
          <w:b/>
          <w:bCs/>
          <w:lang w:val="sk-SK"/>
        </w:rPr>
        <w:t>UNIX je obchodná známka spoločnosti Syngenta Group Company</w:t>
      </w:r>
    </w:p>
    <w:p>
      <w:pPr>
        <w:pStyle w:val="BodyText2"/>
        <w:spacing w:lineRule="auto" w:line="240" w:before="0" w:after="0"/>
        <w:rPr>
          <w:b/>
          <w:b/>
          <w:bCs/>
          <w:lang w:val="sk-SK"/>
        </w:rPr>
      </w:pPr>
      <w:r>
        <w:rPr>
          <w:b/>
          <w:bCs/>
          <w:lang w:val="sk-SK"/>
        </w:rPr>
      </w:r>
    </w:p>
    <w:p>
      <w:pPr>
        <w:pStyle w:val="Normal"/>
        <w:rPr>
          <w:b/>
          <w:b/>
          <w:lang w:val="sk-SK"/>
        </w:rPr>
      </w:pPr>
      <w:r>
        <w:rPr>
          <w:b/>
          <w:lang w:val="sk-SK"/>
        </w:rPr>
        <w:t>PÔSOBENIE PRÍPRAVKU</w:t>
      </w:r>
    </w:p>
    <w:p>
      <w:pPr>
        <w:pStyle w:val="BodyText2"/>
        <w:spacing w:lineRule="auto" w:line="240" w:before="0" w:after="0"/>
        <w:jc w:val="both"/>
        <w:rPr>
          <w:lang w:val="sk-SK"/>
        </w:rPr>
      </w:pPr>
      <w:r>
        <w:rPr>
          <w:lang w:val="sk-SK"/>
        </w:rPr>
        <w:t>UNIX 75 WG je fungicíd určený na ošetrenie pšenice ozimnej a jačmeňa ozimného proti hubovým patogénom. Obsahuje účinnú látku cyprodinil zo skupiny anilinopyrimidinov.</w:t>
      </w:r>
    </w:p>
    <w:p>
      <w:pPr>
        <w:pStyle w:val="BodyText2"/>
        <w:spacing w:lineRule="auto" w:line="240" w:before="0" w:after="0"/>
        <w:jc w:val="both"/>
        <w:rPr>
          <w:lang w:val="sk-SK"/>
        </w:rPr>
      </w:pPr>
      <w:r>
        <w:rPr>
          <w:lang w:val="sk-SK"/>
        </w:rPr>
        <w:t xml:space="preserve">Cyprodinil zasahuje do životného cyklu hubových patogénov hlavne v priebehu penetrácie a rastu mycélia vo vnútri rastlinných pletív. Biochemický účinok cyprodinilu spočíva v narušení syntézy metionínu a sekrécie hydrolytických enzýmov z buniek patogénov. Cyprodinil je dobre a rýchlo prijímaný listami. V rastlinách sa šíri akropetálne xylémom a translaminárne. Systémové vlastnosti prispievajú k dobrej distribúcii účinnej látky vo vnútri rastlinných pletív, čím sa znižuje riziko spláchnutia  z povrchu ošetrených rastlín. </w:t>
      </w:r>
    </w:p>
    <w:p>
      <w:pPr>
        <w:pStyle w:val="Nadpis2"/>
        <w:spacing w:before="0" w:after="0"/>
        <w:rPr>
          <w:i w:val="false"/>
          <w:i w:val="false"/>
          <w:iCs/>
          <w:sz w:val="24"/>
          <w:szCs w:val="24"/>
          <w:lang w:val="sk-SK"/>
        </w:rPr>
      </w:pPr>
      <w:r>
        <w:rPr>
          <w:i w:val="false"/>
          <w:iCs/>
          <w:sz w:val="24"/>
          <w:szCs w:val="24"/>
          <w:lang w:val="sk-SK"/>
        </w:rPr>
      </w:r>
    </w:p>
    <w:p>
      <w:pPr>
        <w:pStyle w:val="Nadpis2"/>
        <w:spacing w:before="0" w:after="0"/>
        <w:rPr>
          <w:i w:val="false"/>
          <w:i w:val="false"/>
          <w:sz w:val="24"/>
          <w:lang w:val="sk-SK"/>
        </w:rPr>
      </w:pPr>
      <w:r>
        <w:br w:type="column"/>
      </w:r>
      <w:r>
        <w:rPr>
          <w:i w:val="false"/>
          <w:iCs/>
          <w:sz w:val="24"/>
          <w:lang w:val="sk-SK"/>
        </w:rPr>
        <w:t>NÁVOD NA POUŽITIE:</w:t>
      </w:r>
    </w:p>
    <w:tbl>
      <w:tblPr>
        <w:tblW w:w="921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319"/>
        <w:gridCol w:w="2933"/>
        <w:gridCol w:w="1559"/>
        <w:gridCol w:w="1276"/>
        <w:gridCol w:w="2127"/>
      </w:tblGrid>
      <w:tr>
        <w:trPr>
          <w:cantSplit w:val="true"/>
        </w:trPr>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402" w:leader="none"/>
              </w:tabs>
              <w:ind w:left="-64" w:firstLine="64"/>
              <w:rPr>
                <w:b/>
                <w:b/>
                <w:lang w:val="sk-SK"/>
              </w:rPr>
            </w:pPr>
            <w:r>
              <w:rPr>
                <w:b/>
                <w:lang w:val="sk-SK"/>
              </w:rPr>
              <w:t>Plodina</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402" w:leader="none"/>
              </w:tabs>
              <w:rPr>
                <w:b/>
                <w:b/>
                <w:lang w:val="sk-SK"/>
              </w:rPr>
            </w:pPr>
            <w:r>
              <w:rPr>
                <w:b/>
                <w:lang w:val="sk-SK"/>
              </w:rPr>
              <w:t>Účel použitia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402" w:leader="none"/>
              </w:tabs>
              <w:rPr>
                <w:b/>
                <w:b/>
                <w:lang w:val="sk-SK"/>
              </w:rPr>
            </w:pPr>
            <w:r>
              <w:rPr>
                <w:b/>
                <w:lang w:val="sk-SK"/>
              </w:rPr>
              <w:t xml:space="preserve">Dávka / ha </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402" w:leader="none"/>
              </w:tabs>
              <w:rPr>
                <w:b/>
                <w:b/>
                <w:lang w:val="sk-SK"/>
              </w:rPr>
            </w:pPr>
            <w:r>
              <w:rPr>
                <w:b/>
                <w:lang w:val="sk-SK"/>
              </w:rPr>
              <w:t>Ochranná doba</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8" w:type="dxa"/>
            </w:tcMar>
          </w:tcPr>
          <w:p>
            <w:pPr>
              <w:pStyle w:val="Normal"/>
              <w:tabs>
                <w:tab w:val="left" w:pos="3402" w:leader="none"/>
              </w:tabs>
              <w:rPr>
                <w:b/>
                <w:b/>
                <w:lang w:val="sk-SK"/>
              </w:rPr>
            </w:pPr>
            <w:r>
              <w:rPr>
                <w:b/>
                <w:lang w:val="sk-SK"/>
              </w:rPr>
              <w:t>Poznámka</w:t>
            </w:r>
          </w:p>
        </w:tc>
      </w:tr>
      <w:tr>
        <w:trPr>
          <w:cantSplit w:val="true"/>
        </w:trPr>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rPr>
                <w:b/>
                <w:b/>
                <w:lang w:val="sk-SK"/>
              </w:rPr>
            </w:pPr>
            <w:r>
              <w:rPr>
                <w:b/>
                <w:lang w:val="sk-SK"/>
              </w:rPr>
              <w:t>pšenica ozimná</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BodyText2"/>
              <w:spacing w:lineRule="auto" w:line="240" w:before="0" w:after="0"/>
              <w:rPr>
                <w:lang w:val="sk-SK"/>
              </w:rPr>
            </w:pPr>
            <w:r>
              <w:rPr>
                <w:lang w:val="sk-SK"/>
              </w:rPr>
              <w:t xml:space="preserve">steblolam, </w:t>
            </w:r>
          </w:p>
          <w:p>
            <w:pPr>
              <w:pStyle w:val="BodyText2"/>
              <w:spacing w:lineRule="auto" w:line="240" w:before="0" w:after="0"/>
              <w:rPr>
                <w:lang w:val="sk-SK"/>
              </w:rPr>
            </w:pPr>
            <w:r>
              <w:rPr>
                <w:lang w:val="sk-SK"/>
              </w:rPr>
              <w:t xml:space="preserve">múčnatka trávová, septoriózy, </w:t>
            </w:r>
          </w:p>
          <w:p>
            <w:pPr>
              <w:pStyle w:val="BodyText2"/>
              <w:spacing w:lineRule="auto" w:line="240" w:before="0" w:after="0"/>
              <w:rPr>
                <w:i/>
                <w:i/>
                <w:iCs/>
                <w:lang w:val="sk-SK"/>
              </w:rPr>
            </w:pPr>
            <w:r>
              <w:rPr>
                <w:lang w:val="sk-SK"/>
              </w:rPr>
              <w:t>fuzariózy bázy stebla (Fusarium spp.)</w:t>
            </w:r>
            <w:r>
              <w:rPr>
                <w:i/>
                <w:iCs/>
                <w:lang w:val="sk-SK"/>
              </w:rPr>
              <w:t xml:space="preserve">, </w:t>
            </w:r>
          </w:p>
          <w:p>
            <w:pPr>
              <w:pStyle w:val="BodyText2"/>
              <w:spacing w:lineRule="auto" w:line="240" w:before="0" w:after="0"/>
              <w:rPr>
                <w:lang w:val="sk-SK"/>
              </w:rPr>
            </w:pPr>
            <w:r>
              <w:rPr>
                <w:iCs/>
                <w:lang w:val="sk-SK"/>
              </w:rPr>
              <w:t>helmintosporióza pšenice (DTR)</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t>0,7 – 1,0 kg</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t>42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r>
          </w:p>
        </w:tc>
      </w:tr>
      <w:tr>
        <w:trPr>
          <w:cantSplit w:val="true"/>
        </w:trPr>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rPr>
                <w:b/>
                <w:b/>
                <w:lang w:val="sk-SK"/>
              </w:rPr>
            </w:pPr>
            <w:r>
              <w:rPr>
                <w:b/>
                <w:lang w:val="sk-SK"/>
              </w:rPr>
              <w:t>jačmeň ozimný</w:t>
            </w:r>
          </w:p>
        </w:tc>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BodyText2"/>
              <w:spacing w:lineRule="auto" w:line="240" w:before="0" w:after="0"/>
              <w:rPr>
                <w:lang w:val="sk-SK"/>
              </w:rPr>
            </w:pPr>
            <w:r>
              <w:rPr>
                <w:lang w:val="sk-SK"/>
              </w:rPr>
              <w:t xml:space="preserve">steblolam, </w:t>
            </w:r>
          </w:p>
          <w:p>
            <w:pPr>
              <w:pStyle w:val="BodyText2"/>
              <w:spacing w:lineRule="auto" w:line="240" w:before="0" w:after="0"/>
              <w:rPr>
                <w:lang w:val="sk-SK"/>
              </w:rPr>
            </w:pPr>
            <w:r>
              <w:rPr>
                <w:lang w:val="sk-SK"/>
              </w:rPr>
              <w:t>múčnatka trávová,</w:t>
            </w:r>
          </w:p>
          <w:p>
            <w:pPr>
              <w:pStyle w:val="BodyText2"/>
              <w:spacing w:lineRule="auto" w:line="240" w:before="0" w:after="0"/>
              <w:rPr>
                <w:lang w:val="sk-SK"/>
              </w:rPr>
            </w:pPr>
            <w:r>
              <w:rPr>
                <w:lang w:val="sk-SK"/>
              </w:rPr>
              <w:t>hnedá škvrnitosť jačmeňa, rynchospóriová škvrnitosť jačmeňa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t>0,7 – 1,0 kg</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t>42</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402" w:leader="none"/>
              </w:tabs>
              <w:jc w:val="center"/>
              <w:rPr>
                <w:lang w:val="sk-SK"/>
              </w:rPr>
            </w:pPr>
            <w:r>
              <w:rPr>
                <w:lang w:val="sk-SK"/>
              </w:rPr>
            </w:r>
          </w:p>
        </w:tc>
      </w:tr>
    </w:tbl>
    <w:p>
      <w:pPr>
        <w:pStyle w:val="Normal"/>
        <w:rPr>
          <w:lang w:val="sk-SK" w:eastAsia="en-US"/>
        </w:rPr>
      </w:pPr>
      <w:r>
        <w:rPr>
          <w:lang w:val="sk-SK" w:eastAsia="en-US"/>
        </w:rPr>
      </w:r>
    </w:p>
    <w:p>
      <w:pPr>
        <w:pStyle w:val="Normal"/>
        <w:rPr>
          <w:b/>
          <w:b/>
          <w:lang w:val="sk-SK"/>
        </w:rPr>
      </w:pPr>
      <w:r>
        <w:rPr>
          <w:b/>
          <w:lang w:val="sk-SK"/>
        </w:rPr>
        <w:t>POKYNY PRE APLIKÁCIU</w:t>
      </w:r>
    </w:p>
    <w:p>
      <w:pPr>
        <w:pStyle w:val="Normal"/>
        <w:jc w:val="both"/>
        <w:rPr>
          <w:lang w:val="sk-SK"/>
        </w:rPr>
      </w:pPr>
      <w:r>
        <w:rPr>
          <w:lang w:val="sk-SK"/>
        </w:rPr>
        <w:t>Odporúčaná dávka vody: 200-400 l/ha.</w:t>
      </w:r>
    </w:p>
    <w:p>
      <w:pPr>
        <w:pStyle w:val="Normal"/>
        <w:jc w:val="both"/>
        <w:rPr>
          <w:lang w:val="sk-SK"/>
        </w:rPr>
      </w:pPr>
      <w:r>
        <w:rPr>
          <w:lang w:val="sk-SK"/>
        </w:rPr>
        <w:t>Počet aplikácií za vegetačné obdobie: 1x.</w:t>
      </w:r>
    </w:p>
    <w:p>
      <w:pPr>
        <w:pStyle w:val="BodyText2"/>
        <w:spacing w:lineRule="auto" w:line="240" w:before="0" w:after="0"/>
        <w:jc w:val="both"/>
        <w:rPr>
          <w:lang w:val="sk-SK"/>
        </w:rPr>
      </w:pPr>
      <w:r>
        <w:rPr>
          <w:lang w:val="sk-SK"/>
        </w:rPr>
      </w:r>
    </w:p>
    <w:p>
      <w:pPr>
        <w:pStyle w:val="BodyText2"/>
        <w:spacing w:lineRule="auto" w:line="240" w:before="0" w:after="0"/>
        <w:jc w:val="both"/>
        <w:rPr>
          <w:b/>
          <w:b/>
          <w:lang w:val="sk-SK"/>
        </w:rPr>
      </w:pPr>
      <w:r>
        <w:rPr>
          <w:b/>
          <w:lang w:val="sk-SK"/>
        </w:rPr>
        <w:t>Pšenica ozimná</w:t>
      </w:r>
    </w:p>
    <w:p>
      <w:pPr>
        <w:pStyle w:val="BodyText2"/>
        <w:spacing w:lineRule="auto" w:line="240" w:before="0" w:after="0"/>
        <w:jc w:val="both"/>
        <w:rPr>
          <w:lang w:val="sk-SK"/>
        </w:rPr>
      </w:pPr>
      <w:r>
        <w:rPr>
          <w:lang w:val="sk-SK"/>
        </w:rPr>
        <w:t xml:space="preserve">Prípravok UNIX 75 WG aplikujte od rastovej fázy začiatku predlžovania stebla (BBCH 30) do rastovej fázy 2. kolienka, ktoré je najmenej 2 cm nad prvým kolienkom (BBCH 32). </w:t>
      </w:r>
    </w:p>
    <w:p>
      <w:pPr>
        <w:pStyle w:val="BodyText2"/>
        <w:spacing w:lineRule="auto" w:line="240" w:before="0" w:after="0"/>
        <w:jc w:val="both"/>
        <w:rPr>
          <w:lang w:val="sk-SK"/>
        </w:rPr>
      </w:pPr>
      <w:r>
        <w:rPr>
          <w:lang w:val="sk-SK"/>
        </w:rPr>
        <w:t>Termín ošetrenia proti steblolamu je vhodné stanoviť podľa existujúceho prognostického a signalizačného modelu.</w:t>
      </w:r>
    </w:p>
    <w:p>
      <w:pPr>
        <w:pStyle w:val="BodyText2"/>
        <w:spacing w:lineRule="auto" w:line="240" w:before="0" w:after="0"/>
        <w:jc w:val="both"/>
        <w:rPr>
          <w:lang w:val="sk-SK"/>
        </w:rPr>
      </w:pPr>
      <w:r>
        <w:rPr>
          <w:lang w:val="sk-SK"/>
        </w:rPr>
        <w:t xml:space="preserve">Proti listovým chorobám ošetrujte pšenicu ozimnú preventívne alebo na začiatku výskytu chorôb. </w:t>
      </w:r>
    </w:p>
    <w:p>
      <w:pPr>
        <w:pStyle w:val="BodyText2"/>
        <w:spacing w:lineRule="auto" w:line="240" w:before="0" w:after="0"/>
        <w:jc w:val="both"/>
        <w:rPr>
          <w:b/>
          <w:b/>
          <w:lang w:val="sk-SK"/>
        </w:rPr>
      </w:pPr>
      <w:r>
        <w:rPr>
          <w:b/>
          <w:lang w:val="sk-SK"/>
        </w:rPr>
      </w:r>
    </w:p>
    <w:p>
      <w:pPr>
        <w:pStyle w:val="BodyText2"/>
        <w:spacing w:lineRule="auto" w:line="240" w:before="0" w:after="0"/>
        <w:jc w:val="both"/>
        <w:rPr>
          <w:b/>
          <w:b/>
          <w:lang w:val="sk-SK"/>
        </w:rPr>
      </w:pPr>
      <w:r>
        <w:rPr>
          <w:b/>
          <w:lang w:val="sk-SK"/>
        </w:rPr>
        <w:t>Jačmeň ozimný</w:t>
      </w:r>
    </w:p>
    <w:p>
      <w:pPr>
        <w:pStyle w:val="BodyText2"/>
        <w:spacing w:lineRule="auto" w:line="240" w:before="0" w:after="0"/>
        <w:jc w:val="both"/>
        <w:rPr>
          <w:lang w:val="sk-SK"/>
        </w:rPr>
      </w:pPr>
      <w:r>
        <w:rPr>
          <w:lang w:val="sk-SK"/>
        </w:rPr>
        <w:t xml:space="preserve">Prípravok UNIX 75 WG aplikujte proti steblolamu od rastovej fázy začiatku predlžovania stebla (BBCH 30) do rastovej fázy 2. kolienka, ktoré je najmenej 2 cm nad prvým kolienkom (BBCH 32). Termín ošetrenia proti steblolamu je vhodné stanoviť podľa existujúceho prognostického a signalizačného modelu. </w:t>
      </w:r>
    </w:p>
    <w:p>
      <w:pPr>
        <w:pStyle w:val="BodyText2"/>
        <w:spacing w:lineRule="auto" w:line="240" w:before="0" w:after="0"/>
        <w:jc w:val="both"/>
        <w:rPr>
          <w:lang w:val="sk-SK"/>
        </w:rPr>
      </w:pPr>
      <w:r>
        <w:rPr>
          <w:lang w:val="sk-SK"/>
        </w:rPr>
        <w:t>Proti listovým chorobám ošetrujte jačmeň ozimný preventívne alebo na začiatku výskytu chorôb od rastovej fázy začiatku predlžovania stebla (BBCH 30) do rastovej fázy začiatku klasenia (BBCH 51).</w:t>
      </w:r>
    </w:p>
    <w:p>
      <w:pPr>
        <w:pStyle w:val="BodyText2"/>
        <w:spacing w:lineRule="auto" w:line="240" w:before="0" w:after="0"/>
        <w:rPr>
          <w:lang w:val="sk-SK"/>
        </w:rPr>
      </w:pPr>
      <w:r>
        <w:rPr>
          <w:lang w:val="sk-SK"/>
        </w:rPr>
      </w:r>
    </w:p>
    <w:p>
      <w:pPr>
        <w:pStyle w:val="BodyText2"/>
        <w:spacing w:lineRule="auto" w:line="240" w:before="0" w:after="0"/>
        <w:jc w:val="both"/>
        <w:rPr>
          <w:b/>
          <w:b/>
          <w:lang w:val="sk-SK"/>
        </w:rPr>
      </w:pPr>
      <w:r>
        <w:rPr>
          <w:b/>
          <w:lang w:val="sk-SK"/>
        </w:rPr>
        <w:t>INFORMÁCIE O MOŽNEJ FYTOTOXICITE, ODRODOVEJ CITLIVOSTI A VŠETKÝCH ĎALŠÍCH PRIAMYCH A NEPRIAMYCH NEPRIAZNIVÝCH ÚČINKOCH NA RASTLINY ALEBO RASTLINNÉ PRODUKTY</w:t>
      </w:r>
    </w:p>
    <w:p>
      <w:pPr>
        <w:pStyle w:val="BodyText2"/>
        <w:spacing w:lineRule="auto" w:line="240" w:before="0" w:after="0"/>
        <w:jc w:val="both"/>
        <w:rPr>
          <w:lang w:val="sk-SK"/>
        </w:rPr>
      </w:pPr>
      <w:r>
        <w:rPr>
          <w:lang w:val="sk-SK"/>
        </w:rPr>
        <w:t xml:space="preserve">Ak je prípravok UNIX 75 WG aplikovaný v súlade s platnou etiketou je veľmi tolerantný k ošetrovaným plodinám. </w:t>
      </w:r>
    </w:p>
    <w:p>
      <w:pPr>
        <w:pStyle w:val="BodyText2"/>
        <w:spacing w:lineRule="auto" w:line="240" w:before="0" w:after="0"/>
        <w:rPr>
          <w:lang w:val="sk-SK"/>
        </w:rPr>
      </w:pPr>
      <w:r>
        <w:rPr>
          <w:lang w:val="sk-SK"/>
        </w:rPr>
      </w:r>
    </w:p>
    <w:p>
      <w:pPr>
        <w:pStyle w:val="BodyText2"/>
        <w:spacing w:lineRule="auto" w:line="240" w:before="0" w:after="0"/>
        <w:jc w:val="both"/>
        <w:rPr>
          <w:b/>
          <w:b/>
          <w:lang w:val="sk-SK"/>
        </w:rPr>
      </w:pPr>
      <w:r>
        <w:rPr>
          <w:b/>
          <w:lang w:val="sk-SK"/>
        </w:rPr>
        <w:t>OPATRENIA PROTI VZNIKU REZISTENCIE</w:t>
      </w:r>
    </w:p>
    <w:p>
      <w:pPr>
        <w:pStyle w:val="BodyText2"/>
        <w:spacing w:lineRule="auto" w:line="240" w:before="0" w:after="0"/>
        <w:jc w:val="both"/>
        <w:rPr>
          <w:lang w:val="sk-SK"/>
        </w:rPr>
      </w:pPr>
      <w:r>
        <w:rPr>
          <w:lang w:val="sk-SK"/>
        </w:rPr>
        <w:t xml:space="preserve">Prípravok UNIX 75 WG obsahuje účinnú látku cyprodinil (kód 9 podľa FRAC). Na zabránenie vzniku rezistencie a pre dosiahnutie optimálnej účinnosti  aplikujte  prípravok UNIX 75 WG preventívne alebo čo najskôr na začiatku výskytu škodlivého organizmu. </w:t>
      </w:r>
    </w:p>
    <w:p>
      <w:pPr>
        <w:pStyle w:val="BodyText2"/>
        <w:spacing w:lineRule="auto" w:line="240" w:before="0" w:after="0"/>
        <w:rPr>
          <w:lang w:val="sk-SK"/>
        </w:rPr>
      </w:pPr>
      <w:r>
        <w:rPr>
          <w:lang w:val="sk-SK"/>
        </w:rPr>
      </w:r>
    </w:p>
    <w:p>
      <w:pPr>
        <w:pStyle w:val="BodyText2"/>
        <w:spacing w:lineRule="auto" w:line="240" w:before="0" w:after="0"/>
        <w:rPr>
          <w:b/>
          <w:b/>
          <w:lang w:val="sk-SK"/>
        </w:rPr>
      </w:pPr>
      <w:r>
        <w:rPr>
          <w:b/>
          <w:lang w:val="sk-SK"/>
        </w:rPr>
        <w:t>VPLYV NA ÚRODU</w:t>
      </w:r>
    </w:p>
    <w:p>
      <w:pPr>
        <w:pStyle w:val="Normal"/>
        <w:jc w:val="both"/>
        <w:rPr>
          <w:lang w:val="sk-SK"/>
        </w:rPr>
      </w:pPr>
      <w:r>
        <w:rPr>
          <w:lang w:val="sk-SK"/>
        </w:rPr>
        <w:t>Ak je prípravok UNIX 75 WG aplikovaný v súlade s platnou etiketou nemá negatívny vplyv na úrodu.</w:t>
      </w:r>
    </w:p>
    <w:p>
      <w:pPr>
        <w:pStyle w:val="Normal"/>
        <w:jc w:val="both"/>
        <w:rPr>
          <w:lang w:val="sk-SK"/>
        </w:rPr>
      </w:pPr>
      <w:r>
        <w:rPr>
          <w:lang w:val="sk-SK"/>
        </w:rPr>
      </w:r>
    </w:p>
    <w:p>
      <w:pPr>
        <w:pStyle w:val="Normal"/>
        <w:jc w:val="both"/>
        <w:rPr>
          <w:b/>
          <w:b/>
          <w:lang w:val="sk-SK"/>
        </w:rPr>
      </w:pPr>
      <w:r>
        <w:rPr>
          <w:b/>
          <w:lang w:val="sk-SK"/>
        </w:rPr>
        <w:t>VPLYV NA NÁSLEDNÉ, NÁHRADNÉ A SUSEDIACE PLODINY</w:t>
      </w:r>
    </w:p>
    <w:p>
      <w:pPr>
        <w:pStyle w:val="Normal"/>
        <w:jc w:val="both"/>
        <w:rPr>
          <w:lang w:val="sk-SK"/>
        </w:rPr>
      </w:pPr>
      <w:r>
        <w:rPr>
          <w:lang w:val="sk-SK"/>
        </w:rPr>
        <w:t>Pestovanie následných plodín je bez obmedzenia. Zabráňte úletu postrekovej kvapaliny. Prípravok nesmie zasiahnuť susedné porasty.</w:t>
      </w:r>
    </w:p>
    <w:p>
      <w:pPr>
        <w:pStyle w:val="Normal"/>
        <w:jc w:val="both"/>
        <w:rPr>
          <w:lang w:val="sk-SK"/>
        </w:rPr>
      </w:pPr>
      <w:r>
        <w:rPr>
          <w:lang w:val="sk-SK"/>
        </w:rPr>
      </w:r>
    </w:p>
    <w:p>
      <w:pPr>
        <w:pStyle w:val="Nadpis2"/>
        <w:spacing w:before="0" w:after="0"/>
        <w:rPr>
          <w:i w:val="false"/>
          <w:i w:val="false"/>
          <w:sz w:val="24"/>
          <w:szCs w:val="24"/>
          <w:lang w:val="sk-SK"/>
        </w:rPr>
      </w:pPr>
      <w:r>
        <w:rPr>
          <w:i w:val="false"/>
          <w:iCs/>
          <w:sz w:val="24"/>
          <w:szCs w:val="24"/>
          <w:lang w:val="sk-SK"/>
        </w:rPr>
        <w:t xml:space="preserve">PRÍPRAVA POSTREKOVEJ </w:t>
      </w:r>
      <w:r>
        <w:rPr>
          <w:i w:val="false"/>
          <w:sz w:val="24"/>
          <w:szCs w:val="24"/>
          <w:lang w:val="sk-SK"/>
        </w:rPr>
        <w:t>KVAPALINY A ZNEŠKODNENIE OBALOV</w:t>
      </w:r>
    </w:p>
    <w:p>
      <w:pPr>
        <w:pStyle w:val="Normal"/>
        <w:jc w:val="both"/>
        <w:rPr>
          <w:lang w:val="sk-SK"/>
        </w:rPr>
      </w:pPr>
      <w:r>
        <w:rPr>
          <w:lang w:val="sk-SK"/>
        </w:rPr>
        <w:t xml:space="preserve">Odmerané množstvo prípravku vlejte za stáleho miešania do nádrže postrekovača naplnenej do jednej tretiny vodou, dôkladne pomiešajte a doplňte na požadovaný objem. Prázdny obal tohto prípravku vypláchnite vodou, a to buď ručne (3 krát po sebe) alebo </w:t>
      </w:r>
      <w:r>
        <w:rPr>
          <w:bCs/>
          <w:lang w:val="sk-SK" w:eastAsia="sk-SK"/>
        </w:rPr>
        <w:t>v primiešavacom</w:t>
      </w:r>
      <w:r>
        <w:rPr>
          <w:lang w:val="sk-SK"/>
        </w:rPr>
        <w:t xml:space="preserve"> zariadení umiestnenom na postrekovači. Výplachovú vodu vylejte do nádrže postrekovača a obal odovzdajte vášmu zmluvnému subjektu, ktorý má oprávnenie na zber a zneškodnenie prázdnych obalov. Pripravte len také množstvo postrekovej kvapaliny, ktoré spotrebujete. Pri príprave zmesi je zakázané miešať koncentráty, prípravky vlievajte do nádrže oddelene. </w:t>
      </w:r>
    </w:p>
    <w:p>
      <w:pPr>
        <w:pStyle w:val="Telotextu"/>
        <w:rPr>
          <w:color w:val="00000A"/>
          <w:lang w:val="sk-SK"/>
        </w:rPr>
      </w:pPr>
      <w:r>
        <w:rPr>
          <w:color w:val="00000A"/>
          <w:lang w:val="sk-SK"/>
        </w:rPr>
        <w:t xml:space="preserve">Zákaz opätovného použitia obalu  alebo jeho použitia na iné účely ! </w:t>
      </w:r>
    </w:p>
    <w:p>
      <w:pPr>
        <w:pStyle w:val="Normal"/>
        <w:jc w:val="both"/>
        <w:rPr>
          <w:lang w:val="sk-SK"/>
        </w:rPr>
      </w:pPr>
      <w:r>
        <w:rPr>
          <w:lang w:val="sk-SK"/>
        </w:rPr>
      </w:r>
    </w:p>
    <w:p>
      <w:pPr>
        <w:pStyle w:val="Normal"/>
        <w:jc w:val="both"/>
        <w:rPr>
          <w:b/>
          <w:b/>
          <w:lang w:val="sk-SK"/>
        </w:rPr>
      </w:pPr>
      <w:r>
        <w:rPr>
          <w:b/>
          <w:lang w:val="sk-SK"/>
        </w:rPr>
        <w:t>ČISTENIE APLIKAČNÉHO ZARIADENIA</w:t>
      </w:r>
    </w:p>
    <w:p>
      <w:pPr>
        <w:pStyle w:val="Normal"/>
        <w:jc w:val="both"/>
        <w:rPr>
          <w:lang w:val="sk-SK"/>
        </w:rPr>
      </w:pPr>
      <w:r>
        <w:rPr>
          <w:bCs/>
          <w:lang w:val="sk-SK" w:eastAsia="sk-SK"/>
        </w:rPr>
        <w:t>Aby nedošlo neskôr k poškodeniu iných plodín ošetrovaných postrekovačom, musia byť všetky zvyšky prípravku z miešacích nádrží a postrekovača ihneď po ukončení postreku odstránené podľa nasledovného postupu:</w:t>
      </w:r>
      <w:bookmarkStart w:id="1" w:name="_GoBack"/>
      <w:bookmarkEnd w:id="1"/>
      <w:r>
        <w:rPr>
          <w:lang w:val="sk-SK"/>
        </w:rPr>
        <w:t xml:space="preserve">. </w:t>
      </w:r>
    </w:p>
    <w:p>
      <w:pPr>
        <w:pStyle w:val="ListParagraph"/>
        <w:numPr>
          <w:ilvl w:val="0"/>
          <w:numId w:val="1"/>
        </w:numPr>
        <w:ind w:left="426" w:hanging="360"/>
        <w:jc w:val="both"/>
        <w:rPr>
          <w:lang w:val="sk-SK"/>
        </w:rPr>
      </w:pPr>
      <w:r>
        <w:rPr>
          <w:lang w:val="sk-SK"/>
        </w:rPr>
        <w:t xml:space="preserve">Po aplikácii prípravku vypláchnite nádrž, ramená a trysky čistou vodou. </w:t>
      </w:r>
    </w:p>
    <w:p>
      <w:pPr>
        <w:pStyle w:val="ListParagraph"/>
        <w:numPr>
          <w:ilvl w:val="0"/>
          <w:numId w:val="1"/>
        </w:numPr>
        <w:ind w:left="426" w:hanging="360"/>
        <w:jc w:val="both"/>
        <w:rPr>
          <w:lang w:val="sk-SK"/>
        </w:rPr>
      </w:pPr>
      <w:r>
        <w:rPr>
          <w:lang w:val="sk-SK"/>
        </w:rPr>
        <w:t xml:space="preserve">Oplachovú vodu vypustite a celé zariadenie znova prepláchnite čistou vodou, </w:t>
      </w:r>
      <w:r>
        <w:rPr>
          <w:bCs/>
          <w:lang w:val="sk-SK" w:eastAsia="sk-SK"/>
        </w:rPr>
        <w:t>s prídavkom čistiaceho prostriedku, alebo sódy (3% roztok).</w:t>
      </w:r>
      <w:r>
        <w:rPr>
          <w:lang w:val="sk-SK"/>
        </w:rPr>
        <w:t xml:space="preserve"> </w:t>
      </w:r>
    </w:p>
    <w:p>
      <w:pPr>
        <w:pStyle w:val="ListParagraph"/>
        <w:numPr>
          <w:ilvl w:val="0"/>
          <w:numId w:val="1"/>
        </w:numPr>
        <w:ind w:left="426" w:hanging="360"/>
        <w:jc w:val="both"/>
        <w:rPr>
          <w:bCs/>
          <w:lang w:val="sk-SK" w:eastAsia="sk-SK"/>
        </w:rPr>
      </w:pPr>
      <w:r>
        <w:rPr>
          <w:bCs/>
          <w:lang w:val="sk-SK" w:eastAsia="sk-SK"/>
        </w:rPr>
        <w:t xml:space="preserve">Opakujte postup podľa bodu „2“ ešte raz. </w:t>
      </w:r>
    </w:p>
    <w:p>
      <w:pPr>
        <w:pStyle w:val="ListParagraph"/>
        <w:numPr>
          <w:ilvl w:val="0"/>
          <w:numId w:val="1"/>
        </w:numPr>
        <w:ind w:left="426" w:hanging="360"/>
        <w:jc w:val="both"/>
        <w:rPr>
          <w:bCs/>
          <w:lang w:val="sk-SK" w:eastAsia="sk-SK"/>
        </w:rPr>
      </w:pPr>
      <w:r>
        <w:rPr>
          <w:bCs/>
          <w:lang w:val="sk-SK" w:eastAsia="sk-SK"/>
        </w:rPr>
        <w:t>Trysky a sitká musia byť čistené oddelene pred začiatkom a po ukončení oplachovania.</w:t>
      </w:r>
    </w:p>
    <w:p>
      <w:pPr>
        <w:pStyle w:val="Normal"/>
        <w:jc w:val="both"/>
        <w:rPr>
          <w:lang w:val="sk-SK"/>
        </w:rPr>
      </w:pPr>
      <w:r>
        <w:rPr>
          <w:lang w:val="sk-SK"/>
        </w:rPr>
        <w:t>Zvyšky postrekovej kvapaliny a oplachové vody aplikujte na predtým ošetrovaný pozemok tak, aby nezasiahli zdroje podzemných a recipienty povrchových vôd!</w:t>
      </w:r>
    </w:p>
    <w:p>
      <w:pPr>
        <w:pStyle w:val="Normal"/>
        <w:rPr>
          <w:lang w:val="sk-SK"/>
        </w:rPr>
      </w:pPr>
      <w:r>
        <w:rPr>
          <w:lang w:val="sk-SK"/>
        </w:rPr>
      </w:r>
    </w:p>
    <w:p>
      <w:pPr>
        <w:pStyle w:val="Nadpis2"/>
        <w:spacing w:before="0" w:after="0"/>
        <w:rPr>
          <w:i w:val="false"/>
          <w:i w:val="false"/>
          <w:iCs/>
          <w:sz w:val="24"/>
          <w:szCs w:val="24"/>
          <w:lang w:val="sk-SK"/>
        </w:rPr>
      </w:pPr>
      <w:r>
        <w:rPr>
          <w:i w:val="false"/>
          <w:iCs/>
          <w:sz w:val="24"/>
          <w:szCs w:val="24"/>
          <w:lang w:val="sk-SK"/>
        </w:rPr>
        <w:t>BEZPEČNOSTNÉ OPATRENIA</w:t>
      </w:r>
    </w:p>
    <w:p>
      <w:pPr>
        <w:pStyle w:val="Hustynormal"/>
        <w:numPr>
          <w:ilvl w:val="0"/>
          <w:numId w:val="0"/>
        </w:numPr>
        <w:spacing w:before="0" w:after="0"/>
        <w:rPr>
          <w:b/>
          <w:b/>
          <w:szCs w:val="24"/>
          <w:lang w:val="sk-SK"/>
        </w:rPr>
      </w:pPr>
      <w:r>
        <w:rPr>
          <w:b/>
          <w:szCs w:val="24"/>
          <w:lang w:val="sk-SK"/>
        </w:rPr>
        <w:t>Pred použitím prípravku si dôkladne prečítajte návod na použitie.</w:t>
      </w:r>
    </w:p>
    <w:p>
      <w:pPr>
        <w:pStyle w:val="Normal"/>
        <w:jc w:val="both"/>
        <w:rPr>
          <w:lang w:val="sk-SK"/>
        </w:rPr>
      </w:pPr>
      <w:r>
        <w:rPr>
          <w:u w:val="single"/>
          <w:lang w:val="sk-SK"/>
        </w:rPr>
        <w:t>Príprava postrekovej kvapaliny:</w:t>
      </w:r>
      <w:r>
        <w:rPr>
          <w:lang w:val="sk-SK"/>
        </w:rPr>
        <w:t xml:space="preserve"> používajte ochranný pracovný odev odolný voči chemikáliám, gumovú/PVC zásteru, ochranný štít na tvár alebo ochranné okuliare, respirátor na ochranu dýchacích orgánov, rukavice určené na prácu s chemikáliami a gumovú pracovnú obuv. Pri príprave postrekovej kvapaliny sa neodporúča používať kontaktné šošovky.</w:t>
      </w:r>
    </w:p>
    <w:p>
      <w:pPr>
        <w:pStyle w:val="Normal"/>
        <w:jc w:val="both"/>
        <w:rPr>
          <w:lang w:val="sk-SK"/>
        </w:rPr>
      </w:pPr>
      <w:r>
        <w:rPr>
          <w:lang w:val="sk-SK"/>
        </w:rPr>
      </w:r>
    </w:p>
    <w:p>
      <w:pPr>
        <w:pStyle w:val="Normal"/>
        <w:jc w:val="both"/>
        <w:rPr>
          <w:lang w:val="sk-SK"/>
        </w:rPr>
      </w:pPr>
      <w:r>
        <w:rPr>
          <w:u w:val="single"/>
          <w:lang w:val="sk-SK"/>
        </w:rPr>
        <w:t>Aplikácia:</w:t>
      </w:r>
      <w:r>
        <w:rPr>
          <w:lang w:val="sk-SK"/>
        </w:rPr>
        <w:t xml:space="preserve"> používajte ochranný celotelový pracovný odev, gumené alebo latexové rukavice vhodné pre prácu s chemickými látkami, ochranný štít na tvár alebo ochranné okuliare, respirátor na ochranu dýchacích orgánov a gumovú pracovnú obuv. </w:t>
      </w:r>
    </w:p>
    <w:p>
      <w:pPr>
        <w:pStyle w:val="Normal"/>
        <w:jc w:val="both"/>
        <w:rPr>
          <w:lang w:val="sk-SK"/>
        </w:rPr>
      </w:pPr>
      <w:r>
        <w:rPr>
          <w:lang w:val="sk-SK"/>
        </w:rPr>
        <w:t>Pri manipulácii s prípravkom sa treba vyhnúť postriekaniu kože a vniknutiu prípravku do očí. Počas práce a po nej, až do vyzlečenia pracovného odevu a umytia celého tela teplou vodou a mydlom, je zakázané jesť, piť a fajčiť.</w:t>
      </w:r>
    </w:p>
    <w:p>
      <w:pPr>
        <w:pStyle w:val="Default"/>
        <w:jc w:val="both"/>
        <w:rPr/>
      </w:pPr>
      <w:r>
        <w:rPr/>
        <w:t xml:space="preserve">Ak nebol použitý jednorazový ochranný pracovný odev, je potrebné pracovný odev a ďalšie osobné ochranné pracovné prostriedky (OOPP) po ukončení práce vyprať resp. očistiť. Je zakázané vynášať kontaminovaný pracovný odev z pracoviska. Poškodené OOPP je potrebné urýchlene vymeniť. Postrek robte len za bezvetria alebo pri miernom vánku v smere vetra, aby nebola zasiahnutá obsluha a ďalšie osoby. </w:t>
      </w:r>
    </w:p>
    <w:p>
      <w:pPr>
        <w:pStyle w:val="Default"/>
        <w:jc w:val="both"/>
        <w:rPr/>
      </w:pPr>
      <w:r>
        <w:rPr/>
        <w:t>Pri aplikácii sa neodporúča používať kontaktné šošovky. Práca s prípravkom je zakázaná tehotným a ženám, mladistvým a je nevhodná pre osoby trpiace alergickým ochorením.</w:t>
      </w:r>
    </w:p>
    <w:p>
      <w:pPr>
        <w:pStyle w:val="Default"/>
        <w:jc w:val="both"/>
        <w:rPr/>
      </w:pPr>
      <w:r>
        <w:rPr/>
      </w:r>
    </w:p>
    <w:p>
      <w:pPr>
        <w:pStyle w:val="Default"/>
        <w:jc w:val="both"/>
        <w:rPr>
          <w:u w:val="single"/>
        </w:rPr>
      </w:pPr>
      <w:r>
        <w:rPr>
          <w:u w:val="single"/>
        </w:rPr>
        <w:t>Pracovníci vstupujúci do ošetrených porastov:</w:t>
      </w:r>
    </w:p>
    <w:p>
      <w:pPr>
        <w:pStyle w:val="Default"/>
        <w:jc w:val="both"/>
        <w:rPr/>
      </w:pPr>
      <w:r>
        <w:rPr/>
        <w:t>Musia mať primerané ochranné pracovné oblečenie pokrývajúce celé telo, pevnú uzavretú obuv, ochranné rukavice a môžu vstupovať do ošetrených miest až po zaschnutí postreku na rastlinách, najskôr po 24 hodinách od postreku.</w:t>
      </w:r>
    </w:p>
    <w:p>
      <w:pPr>
        <w:pStyle w:val="Default"/>
        <w:jc w:val="both"/>
        <w:rPr/>
      </w:pPr>
      <w:r>
        <w:rPr/>
      </w:r>
    </w:p>
    <w:p>
      <w:pPr>
        <w:pStyle w:val="Default"/>
        <w:jc w:val="both"/>
        <w:rPr>
          <w:u w:val="single"/>
        </w:rPr>
      </w:pPr>
      <w:r>
        <w:rPr>
          <w:u w:val="single"/>
        </w:rPr>
        <w:t xml:space="preserve">Obmedzenia s cieľom chrániť zdravie miestnych obyvateľov a náhodne sa vyskytujúcich okolostojacich osôb </w:t>
      </w:r>
    </w:p>
    <w:p>
      <w:pPr>
        <w:pStyle w:val="Default"/>
        <w:jc w:val="both"/>
        <w:rPr/>
      </w:pPr>
      <w:r>
        <w:rPr/>
        <w:t xml:space="preserve">Vzdialenosť medzi hranicou ošetrenej plochy od hranice oblasti využívanej zraniteľnými skupinami obyvateľstva nesmie byť menšia ako 5 metrov. </w:t>
      </w:r>
    </w:p>
    <w:p>
      <w:pPr>
        <w:pStyle w:val="Default"/>
        <w:jc w:val="both"/>
        <w:rPr/>
      </w:pPr>
      <w:r>
        <w:rPr/>
        <w:t xml:space="preserve">Pod oblasťami využívanými zraniteľnými skupinami obyvateľov sa v tomto kontexte považujú: verejné parky a záhrady, cintoríny, športoviská a rekreačné strediská, školské areály a detské ihriská, areály zdravotníckych zariadení, zariadenia sociálnych služieb, zariadenia poskytujúce liečebnú starostlivosť alebo kultúrne zariadenia, ale taktiež okolia obytných domov, záhrady, pozemky vrátane prístupových ciest obyvateľmi a pod. </w:t>
      </w:r>
    </w:p>
    <w:p>
      <w:pPr>
        <w:pStyle w:val="Default"/>
        <w:jc w:val="both"/>
        <w:rPr/>
      </w:pPr>
      <w:r>
        <w:rPr/>
      </w:r>
    </w:p>
    <w:p>
      <w:pPr>
        <w:pStyle w:val="Normal"/>
        <w:jc w:val="both"/>
        <w:rPr>
          <w:lang w:val="sk-SK"/>
        </w:rPr>
      </w:pPr>
      <w:r>
        <w:rPr>
          <w:lang w:val="sk-SK"/>
        </w:rPr>
        <w:t>Ak sa prípravok dostane do centra požiaru, tento haste najlepšie hasiacou penou, hasiacim práškom, prípadne pieskom alebo zeminou. Vodu použite len vo forme jemnej hmly, a to len v tých prípadoch, ak je zaručené, že kontaminovaná voda neprenikne do verejnej kanalizácie a nezasiahne zdroje podzemných ani recipienty povrchových vôd.</w:t>
      </w:r>
    </w:p>
    <w:p>
      <w:pPr>
        <w:pStyle w:val="Telotextu"/>
        <w:rPr>
          <w:color w:val="00000A"/>
          <w:lang w:val="sk-SK"/>
        </w:rPr>
      </w:pPr>
      <w:r>
        <w:rPr>
          <w:color w:val="00000A"/>
          <w:lang w:val="sk-SK"/>
        </w:rPr>
        <w:t>Pri zásahu proti požiaru použite izolačné dýchacie prístroje, pretože pri horení môže dochádzať k vzniku toxických splodín!</w:t>
      </w:r>
    </w:p>
    <w:p>
      <w:pPr>
        <w:pStyle w:val="Normal"/>
        <w:jc w:val="both"/>
        <w:rPr>
          <w:lang w:val="sk-SK"/>
        </w:rPr>
      </w:pPr>
      <w:r>
        <w:rPr>
          <w:lang w:val="sk-SK"/>
        </w:rPr>
      </w:r>
    </w:p>
    <w:p>
      <w:pPr>
        <w:pStyle w:val="Nadpis2"/>
        <w:spacing w:before="0" w:after="0"/>
        <w:rPr>
          <w:i w:val="false"/>
          <w:i w:val="false"/>
          <w:sz w:val="24"/>
          <w:szCs w:val="24"/>
          <w:lang w:val="sk-SK"/>
        </w:rPr>
      </w:pPr>
      <w:r>
        <w:rPr>
          <w:i w:val="false"/>
          <w:sz w:val="24"/>
          <w:szCs w:val="24"/>
          <w:lang w:val="sk-SK"/>
        </w:rPr>
        <w:t>PRVÁ POMOC</w:t>
      </w:r>
    </w:p>
    <w:tbl>
      <w:tblPr>
        <w:tblW w:w="9180" w:type="dxa"/>
        <w:jc w:val="left"/>
        <w:tblInd w:w="-90" w:type="dxa"/>
        <w:tblBorders/>
        <w:tblCellMar>
          <w:top w:w="0" w:type="dxa"/>
          <w:left w:w="108" w:type="dxa"/>
          <w:bottom w:w="0" w:type="dxa"/>
          <w:right w:w="108" w:type="dxa"/>
        </w:tblCellMar>
        <w:tblLook w:firstRow="1" w:noVBand="0" w:lastRow="1" w:firstColumn="1" w:lastColumn="1" w:noHBand="0" w:val="01e0"/>
      </w:tblPr>
      <w:tblGrid>
        <w:gridCol w:w="2519"/>
        <w:gridCol w:w="6660"/>
      </w:tblGrid>
      <w:tr>
        <w:trPr>
          <w:trHeight w:val="254" w:hRule="atLeast"/>
        </w:trPr>
        <w:tc>
          <w:tcPr>
            <w:tcW w:w="2519" w:type="dxa"/>
            <w:tcBorders/>
            <w:shd w:fill="auto" w:val="clear"/>
          </w:tcPr>
          <w:p>
            <w:pPr>
              <w:pStyle w:val="MSDSpolozky"/>
              <w:spacing w:before="120" w:after="0"/>
              <w:jc w:val="left"/>
              <w:rPr>
                <w:caps w:val="false"/>
                <w:smallCaps w:val="false"/>
                <w:sz w:val="24"/>
                <w:szCs w:val="24"/>
              </w:rPr>
            </w:pPr>
            <w:r>
              <w:rPr>
                <w:caps w:val="false"/>
                <w:smallCaps w:val="false"/>
                <w:sz w:val="24"/>
                <w:szCs w:val="24"/>
              </w:rPr>
              <w:t>Všeobecné odporúčania:</w:t>
            </w:r>
          </w:p>
        </w:tc>
        <w:tc>
          <w:tcPr>
            <w:tcW w:w="6660" w:type="dxa"/>
            <w:tcBorders/>
            <w:shd w:fill="auto" w:val="clear"/>
          </w:tcPr>
          <w:p>
            <w:pPr>
              <w:pStyle w:val="MSDSpolozky"/>
              <w:spacing w:before="120" w:after="0"/>
              <w:rPr>
                <w:b w:val="false"/>
                <w:b w:val="false"/>
                <w:caps w:val="false"/>
                <w:smallCaps w:val="false"/>
                <w:sz w:val="24"/>
                <w:szCs w:val="24"/>
              </w:rPr>
            </w:pPr>
            <w:r>
              <w:rPr>
                <w:b w:val="false"/>
                <w:caps w:val="false"/>
                <w:smallCaps w:val="false"/>
                <w:sz w:val="24"/>
                <w:szCs w:val="24"/>
              </w:rPr>
              <w:t>V prípade, že sa objavia zdravotné problémy (napr. nevoľnosť, pretrvávajúce slzenie, začervenanie, pálenie očí a pod.) alebo v prípade iných ťažkostí kontaktujte lekára.) Keď voláte na telefónne číslo tiesňového volania spoločnosti Syngenta, toxikologické stredisko alebo idete na lekárske ošetrenie, majte so sebou obal, etiketu alebo kartu bezpečnostných údajov tohto prípravku.</w:t>
            </w:r>
          </w:p>
        </w:tc>
      </w:tr>
      <w:tr>
        <w:trPr>
          <w:trHeight w:val="254" w:hRule="atLeast"/>
        </w:trPr>
        <w:tc>
          <w:tcPr>
            <w:tcW w:w="2519" w:type="dxa"/>
            <w:tcBorders/>
            <w:shd w:fill="auto" w:val="clear"/>
          </w:tcPr>
          <w:p>
            <w:pPr>
              <w:pStyle w:val="MSDSpolozky"/>
              <w:spacing w:before="0" w:after="0"/>
              <w:jc w:val="left"/>
              <w:rPr>
                <w:caps w:val="false"/>
                <w:smallCaps w:val="false"/>
                <w:sz w:val="24"/>
                <w:szCs w:val="24"/>
              </w:rPr>
            </w:pPr>
            <w:r>
              <w:rPr>
                <w:caps w:val="false"/>
                <w:smallCaps w:val="false"/>
                <w:sz w:val="24"/>
                <w:szCs w:val="24"/>
              </w:rPr>
              <w:t>Po vdýchnutí:</w:t>
            </w:r>
          </w:p>
        </w:tc>
        <w:tc>
          <w:tcPr>
            <w:tcW w:w="6660" w:type="dxa"/>
            <w:tcBorders/>
            <w:shd w:fill="auto" w:val="clear"/>
          </w:tcPr>
          <w:p>
            <w:pPr>
              <w:pStyle w:val="MSDSpolozky"/>
              <w:spacing w:before="0" w:after="0"/>
              <w:rPr>
                <w:b w:val="false"/>
                <w:b w:val="false"/>
                <w:caps w:val="false"/>
                <w:smallCaps w:val="false"/>
                <w:sz w:val="24"/>
                <w:szCs w:val="24"/>
              </w:rPr>
            </w:pPr>
            <w:r>
              <w:rPr>
                <w:b w:val="false"/>
                <w:caps w:val="false"/>
                <w:smallCaps w:val="false"/>
                <w:sz w:val="24"/>
                <w:szCs w:val="24"/>
              </w:rPr>
              <w:t>Prerušte prácu.Vyveďte postihnutého na čerstvý vzduch.</w:t>
            </w:r>
            <w:r>
              <w:rPr>
                <w:sz w:val="24"/>
                <w:szCs w:val="24"/>
              </w:rPr>
              <w:t xml:space="preserve"> </w:t>
            </w:r>
            <w:r>
              <w:rPr>
                <w:b w:val="false"/>
                <w:caps w:val="false"/>
                <w:smallCaps w:val="false"/>
                <w:sz w:val="24"/>
                <w:szCs w:val="24"/>
              </w:rPr>
              <w:t>Ak postihnutý dýcha nepravidelne alebo nedýcha vôbec, začnite s umelým dýchaním. Postihnutého udržiavajte v teple a kľude. Ihneď volajte lekára alebo toxikologické stredisko.</w:t>
            </w:r>
          </w:p>
        </w:tc>
      </w:tr>
      <w:tr>
        <w:trPr>
          <w:trHeight w:val="254" w:hRule="atLeast"/>
        </w:trPr>
        <w:tc>
          <w:tcPr>
            <w:tcW w:w="2519" w:type="dxa"/>
            <w:tcBorders/>
            <w:shd w:fill="auto" w:val="clear"/>
          </w:tcPr>
          <w:p>
            <w:pPr>
              <w:pStyle w:val="MSDSpolozky"/>
              <w:spacing w:before="0" w:after="0"/>
              <w:jc w:val="left"/>
              <w:rPr>
                <w:caps w:val="false"/>
                <w:smallCaps w:val="false"/>
                <w:sz w:val="24"/>
                <w:szCs w:val="24"/>
              </w:rPr>
            </w:pPr>
            <w:r>
              <w:rPr>
                <w:caps w:val="false"/>
                <w:smallCaps w:val="false"/>
                <w:sz w:val="24"/>
                <w:szCs w:val="24"/>
              </w:rPr>
              <w:t>Po zasiahnutí pokožky:</w:t>
            </w:r>
          </w:p>
        </w:tc>
        <w:tc>
          <w:tcPr>
            <w:tcW w:w="6660" w:type="dxa"/>
            <w:tcBorders/>
            <w:shd w:fill="auto" w:val="clear"/>
          </w:tcPr>
          <w:p>
            <w:pPr>
              <w:pStyle w:val="MSDSpolozky"/>
              <w:spacing w:before="0" w:after="0"/>
              <w:rPr>
                <w:b w:val="false"/>
                <w:b w:val="false"/>
                <w:caps w:val="false"/>
                <w:smallCaps w:val="false"/>
                <w:sz w:val="24"/>
                <w:szCs w:val="24"/>
              </w:rPr>
            </w:pPr>
            <w:r>
              <w:rPr>
                <w:b w:val="false"/>
                <w:caps w:val="false"/>
                <w:smallCaps w:val="false"/>
                <w:sz w:val="24"/>
                <w:szCs w:val="24"/>
              </w:rPr>
              <w:t>Ihneď postihnutému vyzlečte kontaminovaný odev. Zasiahnuté miesto umyte teplou vodou a mydlom. Pri väčšej kontaminácii pokožky sa osprchujte. Ak podráždenie pokožky pretrváva, vyhľadajte lekára. Znečistený odev pred opätovným použitím vyperte.</w:t>
            </w:r>
          </w:p>
        </w:tc>
      </w:tr>
      <w:tr>
        <w:trPr>
          <w:trHeight w:val="254" w:hRule="atLeast"/>
        </w:trPr>
        <w:tc>
          <w:tcPr>
            <w:tcW w:w="2519" w:type="dxa"/>
            <w:tcBorders/>
            <w:shd w:fill="auto" w:val="clear"/>
          </w:tcPr>
          <w:p>
            <w:pPr>
              <w:pStyle w:val="MSDSpolozky"/>
              <w:spacing w:before="0" w:after="0"/>
              <w:jc w:val="left"/>
              <w:rPr>
                <w:caps w:val="false"/>
                <w:smallCaps w:val="false"/>
                <w:sz w:val="24"/>
                <w:szCs w:val="24"/>
              </w:rPr>
            </w:pPr>
            <w:r>
              <w:rPr>
                <w:caps w:val="false"/>
                <w:smallCaps w:val="false"/>
                <w:sz w:val="24"/>
                <w:szCs w:val="24"/>
              </w:rPr>
              <w:t>Po zasiahnutí očí:</w:t>
            </w:r>
          </w:p>
        </w:tc>
        <w:tc>
          <w:tcPr>
            <w:tcW w:w="6660" w:type="dxa"/>
            <w:tcBorders/>
            <w:shd w:fill="auto" w:val="clear"/>
          </w:tcPr>
          <w:p>
            <w:pPr>
              <w:pStyle w:val="MSDSpolozky"/>
              <w:spacing w:before="0" w:after="0"/>
              <w:rPr>
                <w:b w:val="false"/>
                <w:b w:val="false"/>
                <w:caps w:val="false"/>
                <w:smallCaps w:val="false"/>
                <w:sz w:val="24"/>
                <w:szCs w:val="24"/>
              </w:rPr>
            </w:pPr>
            <w:r>
              <w:rPr>
                <w:b w:val="false"/>
                <w:caps w:val="false"/>
                <w:smallCaps w:val="false"/>
                <w:sz w:val="24"/>
                <w:szCs w:val="24"/>
              </w:rPr>
              <w:t>Vyberte kontaktné šošovky pokiaľ ich používate. Oči, vrátane pod viečkami vyplachujte veľkým množstvom vody po dobu najmenej 10-tich minút.</w:t>
            </w:r>
            <w:r>
              <w:rPr>
                <w:sz w:val="24"/>
                <w:szCs w:val="24"/>
              </w:rPr>
              <w:t xml:space="preserve"> </w:t>
            </w:r>
            <w:r>
              <w:rPr>
                <w:b w:val="false"/>
                <w:caps w:val="false"/>
                <w:smallCaps w:val="false"/>
                <w:sz w:val="24"/>
                <w:szCs w:val="24"/>
              </w:rPr>
              <w:t>Ihneď vyhľadajte lekárske ošetrenie. Kontaktné šošovky nie je možné opätovne použiť, treba ich zlikvidovať.</w:t>
            </w:r>
          </w:p>
        </w:tc>
      </w:tr>
      <w:tr>
        <w:trPr>
          <w:trHeight w:val="254" w:hRule="atLeast"/>
        </w:trPr>
        <w:tc>
          <w:tcPr>
            <w:tcW w:w="2519" w:type="dxa"/>
            <w:tcBorders/>
            <w:shd w:fill="auto" w:val="clear"/>
          </w:tcPr>
          <w:p>
            <w:pPr>
              <w:pStyle w:val="MSDSpolozky"/>
              <w:spacing w:before="0" w:after="0"/>
              <w:rPr>
                <w:caps w:val="false"/>
                <w:smallCaps w:val="false"/>
                <w:sz w:val="24"/>
                <w:szCs w:val="24"/>
              </w:rPr>
            </w:pPr>
            <w:r>
              <w:rPr>
                <w:caps w:val="false"/>
                <w:smallCaps w:val="false"/>
                <w:sz w:val="24"/>
                <w:szCs w:val="24"/>
              </w:rPr>
              <w:t>Po požití:</w:t>
            </w:r>
          </w:p>
        </w:tc>
        <w:tc>
          <w:tcPr>
            <w:tcW w:w="6660" w:type="dxa"/>
            <w:tcBorders/>
            <w:shd w:fill="auto" w:val="clear"/>
          </w:tcPr>
          <w:p>
            <w:pPr>
              <w:pStyle w:val="MSDSpolozky"/>
              <w:spacing w:before="0" w:after="0"/>
              <w:rPr>
                <w:b w:val="false"/>
                <w:b w:val="false"/>
                <w:caps w:val="false"/>
                <w:smallCaps w:val="false"/>
                <w:sz w:val="24"/>
                <w:szCs w:val="24"/>
              </w:rPr>
            </w:pPr>
            <w:r>
              <w:rPr>
                <w:b w:val="false"/>
                <w:caps w:val="false"/>
                <w:smallCaps w:val="false"/>
                <w:sz w:val="24"/>
                <w:szCs w:val="24"/>
              </w:rPr>
              <w:t>Ústa vypláchnite vodou, postihnutého nechajte vypiť väčšie množstvo vody. Nevyvolávajte zvracanie! V prípade zvracania zabráňte vdýchnutiu zvratkov. Ihneď vyhľadajte lekársku pomoc a ukážte tento obal alebo označenie.</w:t>
            </w:r>
          </w:p>
        </w:tc>
      </w:tr>
      <w:tr>
        <w:trPr>
          <w:trHeight w:val="254" w:hRule="atLeast"/>
        </w:trPr>
        <w:tc>
          <w:tcPr>
            <w:tcW w:w="2519" w:type="dxa"/>
            <w:tcBorders/>
            <w:shd w:fill="auto" w:val="clear"/>
          </w:tcPr>
          <w:p>
            <w:pPr>
              <w:pStyle w:val="MSDSpolozky"/>
              <w:spacing w:before="120" w:after="0"/>
              <w:jc w:val="left"/>
              <w:rPr>
                <w:caps w:val="false"/>
                <w:smallCaps w:val="false"/>
                <w:sz w:val="24"/>
                <w:szCs w:val="24"/>
              </w:rPr>
            </w:pPr>
            <w:r>
              <w:rPr>
                <w:bCs/>
                <w:caps w:val="false"/>
                <w:smallCaps w:val="false"/>
                <w:sz w:val="24"/>
                <w:szCs w:val="24"/>
              </w:rPr>
              <w:t>Pokyny pre ošetrujúceho lekára</w:t>
            </w:r>
            <w:r>
              <w:rPr>
                <w:caps w:val="false"/>
                <w:smallCaps w:val="false"/>
                <w:sz w:val="24"/>
                <w:szCs w:val="24"/>
              </w:rPr>
              <w:t>:</w:t>
            </w:r>
          </w:p>
        </w:tc>
        <w:tc>
          <w:tcPr>
            <w:tcW w:w="6660" w:type="dxa"/>
            <w:tcBorders/>
            <w:shd w:fill="auto" w:val="clear"/>
          </w:tcPr>
          <w:p>
            <w:pPr>
              <w:pStyle w:val="PlainText"/>
              <w:spacing w:before="120" w:after="0"/>
              <w:rPr>
                <w:rFonts w:ascii="Times New Roman" w:hAnsi="Times New Roman" w:cs="Times New Roman"/>
                <w:sz w:val="24"/>
                <w:szCs w:val="24"/>
              </w:rPr>
            </w:pPr>
            <w:r>
              <w:rPr>
                <w:rFonts w:cs="Times New Roman" w:ascii="Times New Roman" w:hAnsi="Times New Roman"/>
                <w:sz w:val="24"/>
                <w:szCs w:val="24"/>
              </w:rPr>
              <w:t xml:space="preserve">Špecifická protilátka nie je dostupná. Použite symptomatickú liečbu. </w:t>
            </w:r>
          </w:p>
        </w:tc>
      </w:tr>
      <w:tr>
        <w:trPr>
          <w:trHeight w:val="254" w:hRule="atLeast"/>
        </w:trPr>
        <w:tc>
          <w:tcPr>
            <w:tcW w:w="2519" w:type="dxa"/>
            <w:tcBorders/>
            <w:shd w:fill="auto" w:val="clear"/>
          </w:tcPr>
          <w:p>
            <w:pPr>
              <w:pStyle w:val="MSDSpolozky"/>
              <w:spacing w:before="120" w:after="0"/>
              <w:jc w:val="left"/>
              <w:rPr>
                <w:bCs/>
                <w:caps w:val="false"/>
                <w:smallCaps w:val="false"/>
                <w:sz w:val="24"/>
                <w:szCs w:val="24"/>
              </w:rPr>
            </w:pPr>
            <w:r>
              <w:rPr>
                <w:bCs/>
                <w:caps w:val="false"/>
                <w:smallCaps w:val="false"/>
                <w:sz w:val="24"/>
                <w:szCs w:val="24"/>
              </w:rPr>
            </w:r>
          </w:p>
        </w:tc>
        <w:tc>
          <w:tcPr>
            <w:tcW w:w="6660" w:type="dxa"/>
            <w:tcBorders/>
            <w:shd w:fill="auto" w:val="clear"/>
          </w:tcPr>
          <w:p>
            <w:pPr>
              <w:pStyle w:val="PlainText"/>
              <w:spacing w:before="12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lang w:val="sk-SK"/>
        </w:rPr>
      </w:pPr>
      <w:r>
        <w:rPr>
          <w:lang w:val="sk-SK"/>
        </w:rPr>
        <w:t>V prípade potreby liečbu môže lekár konzultovať s Národným toxikologickým informačným centrom Bratislava, tel: +421/2/54 77 41 66.</w:t>
      </w:r>
    </w:p>
    <w:p>
      <w:pPr>
        <w:pStyle w:val="Normal"/>
        <w:rPr>
          <w:rFonts w:eastAsia="SimSun"/>
          <w:b/>
          <w:b/>
          <w:u w:val="single"/>
          <w:lang w:val="sk-SK" w:eastAsia="zh-CN"/>
        </w:rPr>
      </w:pPr>
      <w:r>
        <w:rPr>
          <w:rFonts w:eastAsia="SimSun"/>
          <w:b/>
          <w:u w:val="single"/>
          <w:lang w:val="sk-SK" w:eastAsia="zh-CN"/>
        </w:rPr>
        <w:t xml:space="preserve">V prípade nebezpečia volajte: </w:t>
      </w:r>
    </w:p>
    <w:p>
      <w:pPr>
        <w:pStyle w:val="Normal"/>
        <w:rPr>
          <w:lang w:val="sk-SK"/>
        </w:rPr>
      </w:pPr>
      <w:r>
        <w:rPr>
          <w:lang w:val="sk-SK"/>
        </w:rPr>
        <w:t>SGS Slovenská republika: +421 905 585 938</w:t>
      </w:r>
    </w:p>
    <w:p>
      <w:pPr>
        <w:pStyle w:val="Normal"/>
        <w:jc w:val="both"/>
        <w:rPr>
          <w:rFonts w:eastAsia="SimSun"/>
          <w:lang w:val="sk-SK" w:eastAsia="zh-CN"/>
        </w:rPr>
      </w:pPr>
      <w:r>
        <w:rPr>
          <w:rFonts w:eastAsia="SimSun"/>
          <w:lang w:val="sk-SK" w:eastAsia="zh-CN"/>
        </w:rPr>
        <w:t>Syngenta Alarm Centre, Huddersfield, U.K., tel.: +44 1484 538 444, fax: +44 1484554093</w:t>
      </w:r>
    </w:p>
    <w:p>
      <w:pPr>
        <w:pStyle w:val="Normal"/>
        <w:tabs>
          <w:tab w:val="left" w:pos="1134" w:leader="none"/>
          <w:tab w:val="left" w:pos="3261" w:leader="none"/>
        </w:tabs>
        <w:jc w:val="both"/>
        <w:rPr>
          <w:bCs/>
          <w:lang w:val="sk-SK"/>
        </w:rPr>
      </w:pPr>
      <w:r>
        <w:rPr>
          <w:bCs/>
          <w:lang w:val="sk-SK"/>
        </w:rPr>
      </w:r>
    </w:p>
    <w:p>
      <w:pPr>
        <w:pStyle w:val="Nadpis2"/>
        <w:spacing w:before="0" w:after="0"/>
        <w:rPr>
          <w:i w:val="false"/>
          <w:i w:val="false"/>
          <w:iCs/>
          <w:sz w:val="24"/>
          <w:szCs w:val="24"/>
          <w:lang w:val="sk-SK"/>
        </w:rPr>
      </w:pPr>
      <w:r>
        <w:rPr>
          <w:i w:val="false"/>
          <w:iCs/>
          <w:sz w:val="24"/>
          <w:szCs w:val="24"/>
          <w:lang w:val="sk-SK"/>
        </w:rPr>
        <w:t>SKLADOVANIE</w:t>
      </w:r>
    </w:p>
    <w:p>
      <w:pPr>
        <w:pStyle w:val="Normal"/>
        <w:jc w:val="both"/>
        <w:rPr>
          <w:lang w:val="sk-SK"/>
        </w:rPr>
      </w:pPr>
      <w:r>
        <w:rPr>
          <w:lang w:val="sk-SK"/>
        </w:rPr>
        <w:t>Prípravok skladujte v uzavretých, originálnych obaloch, v uzamknutých, suchých, hygienicky čistých a dobre vetrateľných skladoch, pri teplotách +5 °C až +30</w:t>
      </w:r>
      <w:r>
        <w:rPr>
          <w:rFonts w:eastAsia="Symbol" w:cs="Symbol" w:ascii="Symbol" w:hAnsi="Symbol"/>
          <w:lang w:val="sk-SK"/>
        </w:rPr>
        <w:t></w:t>
      </w:r>
      <w:r>
        <w:rPr>
          <w:lang w:val="sk-SK"/>
        </w:rPr>
        <w:t xml:space="preserve">C oddelene od potravín, nápojov, krmív, hnojív, dezinfekčných prostriedkov, horľavín a obalov od týchto látok. Chráňte pred mrazom a priamym slnečným svetlom. </w:t>
      </w:r>
    </w:p>
    <w:p>
      <w:pPr>
        <w:pStyle w:val="Normal"/>
        <w:jc w:val="both"/>
        <w:rPr>
          <w:lang w:val="sk-SK"/>
        </w:rPr>
      </w:pPr>
      <w:r>
        <w:rPr>
          <w:lang w:val="sk-SK"/>
        </w:rPr>
        <w:t>Doba skladovateľnosti v originálnych neporušených obaloch je 2 roky od dátumu výroby.</w:t>
      </w:r>
    </w:p>
    <w:p>
      <w:pPr>
        <w:pStyle w:val="Normal"/>
        <w:jc w:val="both"/>
        <w:rPr>
          <w:lang w:val="sk-SK"/>
        </w:rPr>
      </w:pPr>
      <w:r>
        <w:rPr>
          <w:lang w:val="sk-SK"/>
        </w:rPr>
      </w:r>
    </w:p>
    <w:p>
      <w:pPr>
        <w:pStyle w:val="Nadpis2"/>
        <w:spacing w:before="0" w:after="0"/>
        <w:rPr>
          <w:i w:val="false"/>
          <w:i w:val="false"/>
          <w:iCs/>
          <w:sz w:val="24"/>
          <w:szCs w:val="24"/>
          <w:lang w:val="sk-SK"/>
        </w:rPr>
      </w:pPr>
      <w:r>
        <w:rPr>
          <w:i w:val="false"/>
          <w:iCs/>
          <w:sz w:val="24"/>
          <w:szCs w:val="24"/>
          <w:lang w:val="sk-SK"/>
        </w:rPr>
        <w:t>ZNEŠKODNENIE ZVYŠKOV</w:t>
      </w:r>
    </w:p>
    <w:p>
      <w:pPr>
        <w:pStyle w:val="Normal"/>
        <w:jc w:val="both"/>
        <w:rPr>
          <w:lang w:val="sk-SK"/>
        </w:rPr>
      </w:pPr>
      <w:r>
        <w:rPr>
          <w:lang w:val="sk-SK"/>
        </w:rPr>
        <w:t>Nepoužité zvyšky prípravku v pôvodnom obale zneškodnite ako nebezpečný odpad.</w:t>
      </w:r>
    </w:p>
    <w:p>
      <w:pPr>
        <w:pStyle w:val="Normal"/>
        <w:jc w:val="both"/>
        <w:rPr>
          <w:lang w:val="sk-SK"/>
        </w:rPr>
      </w:pPr>
      <w:r>
        <w:rPr>
          <w:lang w:val="sk-SK"/>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pPr>
        <w:pStyle w:val="Normal"/>
        <w:jc w:val="both"/>
        <w:rPr>
          <w:lang w:val="sk-SK"/>
        </w:rPr>
      </w:pPr>
      <w:r>
        <w:rPr>
          <w:lang w:val="sk-SK"/>
        </w:rPr>
      </w:r>
    </w:p>
    <w:p>
      <w:pPr>
        <w:pStyle w:val="Normal"/>
        <w:tabs>
          <w:tab w:val="left" w:pos="3402" w:leader="none"/>
        </w:tabs>
        <w:jc w:val="both"/>
        <w:rPr>
          <w:b/>
          <w:b/>
          <w:lang w:val="sk-SK"/>
        </w:rPr>
      </w:pPr>
      <w:r>
        <w:rPr>
          <w:b/>
          <w:lang w:val="sk-SK"/>
        </w:rPr>
        <w:t>Právne normy</w:t>
      </w:r>
    </w:p>
    <w:p>
      <w:pPr>
        <w:pStyle w:val="Telotextu"/>
        <w:tabs>
          <w:tab w:val="left" w:pos="3402" w:leader="none"/>
        </w:tabs>
        <w:rPr/>
      </w:pPr>
      <w:r>
        <w:rPr>
          <w:color w:val="00000A"/>
          <w:lang w:val="sk-SK"/>
        </w:rPr>
        <w:t>Pred použitím prípravku si prečítajte pozorne návod na použitie. Užívateľ nesie plnú zodpovednosť za poškodenie, ktoré spôsobí nesprávnym používaním prípravku.</w:t>
      </w:r>
    </w:p>
    <w:sectPr>
      <w:headerReference w:type="default" r:id="rId4"/>
      <w:footerReference w:type="default" r:id="rId5"/>
      <w:type w:val="nextPage"/>
      <w:pgSz w:w="11906" w:h="16838"/>
      <w:pgMar w:left="1418" w:right="1418" w:header="709" w:top="1418"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swiss"/>
    <w:pitch w:val="variable"/>
  </w:font>
  <w:font w:name="Tms Rmn">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0287601"/>
    </w:sdtPr>
    <w:sdtContent>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pPr>
        <w:r>
          <w:rPr>
            <w:sz w:val="20"/>
            <w:szCs w:val="20"/>
            <w:lang w:val="sk-SK"/>
          </w:rPr>
          <w:t>ICZ/2017/06318/vi(me)</w:t>
          <w:tab/>
          <w:tab/>
          <w:tab/>
          <w:tab/>
          <w:tab/>
          <w:tab/>
          <w:tab/>
          <w:tab/>
          <w:tab/>
          <w:tab/>
        </w:r>
        <w:r>
          <w:rPr>
            <w:sz w:val="20"/>
            <w:szCs w:val="20"/>
            <w:lang w:val="sk-SK"/>
          </w:rPr>
          <w:fldChar w:fldCharType="begin"/>
        </w:r>
        <w:r>
          <w:instrText> PAGE </w:instrText>
        </w:r>
        <w:r>
          <w:fldChar w:fldCharType="separate"/>
        </w:r>
        <w:r>
          <w:t>6</w:t>
        </w:r>
        <w:r>
          <w:fldChar w:fldCharType="end"/>
        </w:r>
        <w:r>
          <w:rPr>
            <w:sz w:val="20"/>
            <w:szCs w:val="20"/>
          </w:rPr>
          <w:t>/5</w:t>
        </w:r>
      </w:p>
    </w:sdtContent>
  </w:sdt>
  <w:p>
    <w:pPr>
      <w:pStyle w:val="Pta"/>
      <w:rPr>
        <w:lang w:val="sk-SK"/>
      </w:rPr>
    </w:pPr>
    <w:r>
      <w:rPr>
        <w:lang w:val="sk-SK"/>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rPr>
        <w:sz w:val="20"/>
        <w:szCs w:val="22"/>
        <w:lang w:val="sk-SK"/>
      </w:rPr>
    </w:pPr>
    <w:r>
      <w:rPr>
        <w:sz w:val="22"/>
        <w:lang w:val="sk-SK"/>
      </w:rPr>
      <w:tab/>
      <w:tab/>
    </w:r>
    <w:r>
      <w:rPr>
        <w:sz w:val="20"/>
        <w:szCs w:val="22"/>
        <w:lang w:val="sk-SK"/>
      </w:rPr>
      <w:t>Etiketa schválená: 11.11.2019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5e88"/>
    <w:pPr>
      <w:widowControl/>
      <w:bidi w:val="0"/>
      <w:spacing w:lineRule="auto" w:line="240" w:before="0" w:after="0"/>
      <w:jc w:val="left"/>
    </w:pPr>
    <w:rPr>
      <w:rFonts w:ascii="Times New Roman" w:hAnsi="Times New Roman" w:eastAsia="Times New Roman" w:cs="Times New Roman"/>
      <w:color w:val="auto"/>
      <w:sz w:val="24"/>
      <w:szCs w:val="24"/>
      <w:lang w:val="cs-CZ" w:eastAsia="cs-CZ" w:bidi="ar-SA"/>
    </w:rPr>
  </w:style>
  <w:style w:type="paragraph" w:styleId="Nadpis2">
    <w:name w:val="Heading 2"/>
    <w:basedOn w:val="Normal"/>
    <w:link w:val="Nadpis2Char"/>
    <w:qFormat/>
    <w:rsid w:val="00055e88"/>
    <w:pPr>
      <w:keepNext/>
      <w:spacing w:before="600" w:after="120"/>
      <w:jc w:val="both"/>
      <w:outlineLvl w:val="1"/>
    </w:pPr>
    <w:rPr>
      <w:b/>
      <w:i/>
      <w:sz w:val="28"/>
      <w:szCs w:val="20"/>
      <w:lang w:eastAsia="en-US"/>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qFormat/>
    <w:rsid w:val="00055e88"/>
    <w:rPr>
      <w:rFonts w:ascii="Times New Roman" w:hAnsi="Times New Roman" w:eastAsia="Times New Roman" w:cs="Times New Roman"/>
      <w:b/>
      <w:i/>
      <w:sz w:val="28"/>
      <w:szCs w:val="20"/>
      <w:lang w:val="cs-CZ"/>
    </w:rPr>
  </w:style>
  <w:style w:type="character" w:styleId="ZkladntextChar" w:customStyle="1">
    <w:name w:val="Základný text Char"/>
    <w:basedOn w:val="DefaultParagraphFont"/>
    <w:link w:val="Zkladntext"/>
    <w:qFormat/>
    <w:rsid w:val="00055e88"/>
    <w:rPr>
      <w:rFonts w:ascii="Times New Roman" w:hAnsi="Times New Roman" w:eastAsia="Times New Roman" w:cs="Times New Roman"/>
      <w:color w:val="FF0000"/>
      <w:sz w:val="24"/>
      <w:szCs w:val="24"/>
      <w:lang w:val="cs-CZ" w:eastAsia="cs-CZ"/>
    </w:rPr>
  </w:style>
  <w:style w:type="character" w:styleId="PtaChar" w:customStyle="1">
    <w:name w:val="Päta Char"/>
    <w:basedOn w:val="DefaultParagraphFont"/>
    <w:link w:val="Pta"/>
    <w:qFormat/>
    <w:rsid w:val="00055e88"/>
    <w:rPr>
      <w:rFonts w:ascii="Times New Roman" w:hAnsi="Times New Roman" w:eastAsia="Times New Roman" w:cs="Times New Roman"/>
      <w:sz w:val="24"/>
      <w:szCs w:val="24"/>
      <w:lang w:val="cs-CZ" w:eastAsia="cs-CZ"/>
    </w:rPr>
  </w:style>
  <w:style w:type="character" w:styleId="Pagenumber">
    <w:name w:val="page number"/>
    <w:basedOn w:val="DefaultParagraphFont"/>
    <w:qFormat/>
    <w:rsid w:val="00055e88"/>
    <w:rPr/>
  </w:style>
  <w:style w:type="character" w:styleId="HlavikaChar" w:customStyle="1">
    <w:name w:val="Hlavička Char"/>
    <w:basedOn w:val="DefaultParagraphFont"/>
    <w:link w:val="Hlavika"/>
    <w:uiPriority w:val="99"/>
    <w:qFormat/>
    <w:rsid w:val="00055e88"/>
    <w:rPr>
      <w:rFonts w:ascii="Times New Roman" w:hAnsi="Times New Roman" w:eastAsia="Times New Roman" w:cs="Times New Roman"/>
      <w:sz w:val="24"/>
      <w:szCs w:val="24"/>
      <w:lang w:val="cs-CZ" w:eastAsia="cs-CZ"/>
    </w:rPr>
  </w:style>
  <w:style w:type="character" w:styleId="Zkladntext2Char" w:customStyle="1">
    <w:name w:val="Základný text 2 Char"/>
    <w:basedOn w:val="DefaultParagraphFont"/>
    <w:link w:val="Zkladntext2"/>
    <w:qFormat/>
    <w:rsid w:val="00055e88"/>
    <w:rPr>
      <w:rFonts w:ascii="Times New Roman" w:hAnsi="Times New Roman" w:eastAsia="Times New Roman" w:cs="Times New Roman"/>
      <w:sz w:val="24"/>
      <w:szCs w:val="24"/>
      <w:lang w:val="cs-CZ" w:eastAsia="cs-CZ"/>
    </w:rPr>
  </w:style>
  <w:style w:type="character" w:styleId="ObyajntextChar" w:customStyle="1">
    <w:name w:val="Obyčajný text Char"/>
    <w:basedOn w:val="DefaultParagraphFont"/>
    <w:link w:val="Obyajntext"/>
    <w:qFormat/>
    <w:rsid w:val="00055e88"/>
    <w:rPr>
      <w:rFonts w:ascii="Courier New" w:hAnsi="Courier New" w:eastAsia="Times New Roman" w:cs="Courier New"/>
      <w:sz w:val="20"/>
      <w:szCs w:val="20"/>
      <w:lang w:eastAsia="sk-SK"/>
    </w:rPr>
  </w:style>
  <w:style w:type="character" w:styleId="TextbublinyChar" w:customStyle="1">
    <w:name w:val="Text bubliny Char"/>
    <w:basedOn w:val="DefaultParagraphFont"/>
    <w:link w:val="Textbubliny"/>
    <w:uiPriority w:val="99"/>
    <w:semiHidden/>
    <w:qFormat/>
    <w:rsid w:val="00055e88"/>
    <w:rPr>
      <w:rFonts w:ascii="Tahoma" w:hAnsi="Tahoma" w:eastAsia="Times New Roman" w:cs="Tahoma"/>
      <w:sz w:val="16"/>
      <w:szCs w:val="16"/>
      <w:lang w:val="cs-CZ" w:eastAsia="cs-CZ"/>
    </w:rPr>
  </w:style>
  <w:style w:type="character" w:styleId="Annotationreference">
    <w:name w:val="annotation reference"/>
    <w:basedOn w:val="DefaultParagraphFont"/>
    <w:uiPriority w:val="99"/>
    <w:semiHidden/>
    <w:unhideWhenUsed/>
    <w:qFormat/>
    <w:rsid w:val="00934cef"/>
    <w:rPr>
      <w:sz w:val="16"/>
      <w:szCs w:val="16"/>
    </w:rPr>
  </w:style>
  <w:style w:type="character" w:styleId="TextkomentraChar" w:customStyle="1">
    <w:name w:val="Text komentára Char"/>
    <w:basedOn w:val="DefaultParagraphFont"/>
    <w:link w:val="Textkomentra"/>
    <w:uiPriority w:val="99"/>
    <w:semiHidden/>
    <w:qFormat/>
    <w:rsid w:val="00934cef"/>
    <w:rPr>
      <w:rFonts w:ascii="Times New Roman" w:hAnsi="Times New Roman" w:eastAsia="Times New Roman" w:cs="Times New Roman"/>
      <w:sz w:val="20"/>
      <w:szCs w:val="20"/>
      <w:lang w:val="cs-CZ" w:eastAsia="cs-CZ"/>
    </w:rPr>
  </w:style>
  <w:style w:type="character" w:styleId="PredmetkomentraChar" w:customStyle="1">
    <w:name w:val="Predmet komentára Char"/>
    <w:basedOn w:val="TextkomentraChar"/>
    <w:link w:val="Predmetkomentra"/>
    <w:uiPriority w:val="99"/>
    <w:semiHidden/>
    <w:qFormat/>
    <w:rsid w:val="00934cef"/>
    <w:rPr>
      <w:rFonts w:ascii="Times New Roman" w:hAnsi="Times New Roman" w:eastAsia="Times New Roman" w:cs="Times New Roman"/>
      <w:b/>
      <w:bCs/>
      <w:sz w:val="20"/>
      <w:szCs w:val="20"/>
      <w:lang w:val="cs-CZ" w:eastAsia="cs-CZ"/>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link w:val="ZkladntextChar"/>
    <w:rsid w:val="00055e88"/>
    <w:pPr>
      <w:jc w:val="both"/>
    </w:pPr>
    <w:rPr>
      <w:color w:val="FF0000"/>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ta">
    <w:name w:val="Footer"/>
    <w:basedOn w:val="Normal"/>
    <w:link w:val="PtaChar"/>
    <w:rsid w:val="00055e88"/>
    <w:pPr>
      <w:tabs>
        <w:tab w:val="center" w:pos="4536" w:leader="none"/>
        <w:tab w:val="right" w:pos="9072" w:leader="none"/>
      </w:tabs>
    </w:pPr>
    <w:rPr/>
  </w:style>
  <w:style w:type="paragraph" w:styleId="Hlavika">
    <w:name w:val="Header"/>
    <w:basedOn w:val="Normal"/>
    <w:link w:val="HlavikaChar"/>
    <w:uiPriority w:val="99"/>
    <w:rsid w:val="00055e88"/>
    <w:pPr>
      <w:tabs>
        <w:tab w:val="center" w:pos="4536" w:leader="none"/>
        <w:tab w:val="right" w:pos="9072" w:leader="none"/>
      </w:tabs>
    </w:pPr>
    <w:rPr/>
  </w:style>
  <w:style w:type="paragraph" w:styleId="BodyText2">
    <w:name w:val="Body Text 2"/>
    <w:basedOn w:val="Normal"/>
    <w:link w:val="Zkladntext2Char"/>
    <w:qFormat/>
    <w:rsid w:val="00055e88"/>
    <w:pPr>
      <w:spacing w:lineRule="auto" w:line="480" w:before="0" w:after="120"/>
    </w:pPr>
    <w:rPr/>
  </w:style>
  <w:style w:type="paragraph" w:styleId="Pozor" w:customStyle="1">
    <w:name w:val="pozor"/>
    <w:basedOn w:val="Normal"/>
    <w:qFormat/>
    <w:rsid w:val="00055e88"/>
    <w:pPr>
      <w:keepNext/>
      <w:spacing w:before="120" w:after="0"/>
      <w:jc w:val="both"/>
    </w:pPr>
    <w:rPr>
      <w:b/>
      <w:sz w:val="28"/>
      <w:szCs w:val="20"/>
      <w:lang w:eastAsia="en-US"/>
    </w:rPr>
  </w:style>
  <w:style w:type="paragraph" w:styleId="Odrazka" w:customStyle="1">
    <w:name w:val="odrazka"/>
    <w:basedOn w:val="Normal"/>
    <w:qFormat/>
    <w:rsid w:val="00055e88"/>
    <w:pPr>
      <w:ind w:left="1004" w:hanging="284"/>
      <w:jc w:val="both"/>
    </w:pPr>
    <w:rPr>
      <w:szCs w:val="20"/>
      <w:lang w:eastAsia="en-US"/>
    </w:rPr>
  </w:style>
  <w:style w:type="paragraph" w:styleId="Hustynormal" w:customStyle="1">
    <w:name w:val="husty normal"/>
    <w:basedOn w:val="Normal"/>
    <w:qFormat/>
    <w:rsid w:val="00055e88"/>
    <w:pPr>
      <w:spacing w:before="120" w:after="120"/>
      <w:jc w:val="both"/>
    </w:pPr>
    <w:rPr>
      <w:szCs w:val="20"/>
      <w:lang w:eastAsia="en-US"/>
    </w:rPr>
  </w:style>
  <w:style w:type="paragraph" w:styleId="PlainText">
    <w:name w:val="Plain Text"/>
    <w:basedOn w:val="Normal"/>
    <w:link w:val="ObyajntextChar"/>
    <w:qFormat/>
    <w:rsid w:val="00055e88"/>
    <w:pPr>
      <w:spacing w:before="0" w:after="120"/>
      <w:jc w:val="both"/>
    </w:pPr>
    <w:rPr>
      <w:rFonts w:ascii="Courier New" w:hAnsi="Courier New" w:cs="Courier New"/>
      <w:sz w:val="20"/>
      <w:szCs w:val="20"/>
      <w:lang w:val="sk-SK" w:eastAsia="sk-SK"/>
    </w:rPr>
  </w:style>
  <w:style w:type="paragraph" w:styleId="MSDSpolozky" w:customStyle="1">
    <w:name w:val="MSDS_polozky"/>
    <w:basedOn w:val="PlainText"/>
    <w:qFormat/>
    <w:rsid w:val="00055e88"/>
    <w:pPr>
      <w:spacing w:before="360" w:after="120"/>
    </w:pPr>
    <w:rPr>
      <w:rFonts w:ascii="Times New Roman" w:hAnsi="Times New Roman" w:cs="Times New Roman"/>
      <w:b/>
      <w:caps/>
      <w:sz w:val="22"/>
      <w:szCs w:val="22"/>
    </w:rPr>
  </w:style>
  <w:style w:type="paragraph" w:styleId="BalloonText">
    <w:name w:val="Balloon Text"/>
    <w:basedOn w:val="Normal"/>
    <w:link w:val="TextbublinyChar"/>
    <w:uiPriority w:val="99"/>
    <w:semiHidden/>
    <w:unhideWhenUsed/>
    <w:qFormat/>
    <w:rsid w:val="00055e88"/>
    <w:pPr/>
    <w:rPr>
      <w:rFonts w:ascii="Tahoma" w:hAnsi="Tahoma" w:cs="Tahoma"/>
      <w:sz w:val="16"/>
      <w:szCs w:val="16"/>
    </w:rPr>
  </w:style>
  <w:style w:type="paragraph" w:styleId="Text" w:customStyle="1">
    <w:name w:val="Text"/>
    <w:basedOn w:val="Normal"/>
    <w:qFormat/>
    <w:rsid w:val="00be6562"/>
    <w:pPr/>
    <w:rPr>
      <w:rFonts w:ascii="Tms Rmn" w:hAnsi="Tms Rmn"/>
      <w:sz w:val="20"/>
      <w:szCs w:val="20"/>
      <w:lang w:val="en-GB" w:eastAsia="en-US"/>
      <w14:shadow w14:blurRad="50800" w14:dist="38100" w14:dir="2700000" w14:sx="100000" w14:sy="100000" w14:kx="0" w14:ky="0" w14:algn="tl">
        <w14:srgbClr w14:val="000000">
          <w14:alpha w14:val="60000"/>
        </w14:srgbClr>
      </w14:shadow>
    </w:rPr>
  </w:style>
  <w:style w:type="paragraph" w:styleId="Annotationtext">
    <w:name w:val="annotation text"/>
    <w:basedOn w:val="Normal"/>
    <w:link w:val="TextkomentraChar"/>
    <w:uiPriority w:val="99"/>
    <w:semiHidden/>
    <w:unhideWhenUsed/>
    <w:qFormat/>
    <w:rsid w:val="00934cef"/>
    <w:pPr/>
    <w:rPr>
      <w:sz w:val="20"/>
      <w:szCs w:val="20"/>
    </w:rPr>
  </w:style>
  <w:style w:type="paragraph" w:styleId="Annotationsubject">
    <w:name w:val="annotation subject"/>
    <w:basedOn w:val="Annotationtext"/>
    <w:link w:val="PredmetkomentraChar"/>
    <w:uiPriority w:val="99"/>
    <w:semiHidden/>
    <w:unhideWhenUsed/>
    <w:qFormat/>
    <w:rsid w:val="00934cef"/>
    <w:pPr/>
    <w:rPr>
      <w:b/>
      <w:bCs/>
    </w:rPr>
  </w:style>
  <w:style w:type="paragraph" w:styleId="ListParagraph">
    <w:name w:val="List Paragraph"/>
    <w:basedOn w:val="Normal"/>
    <w:uiPriority w:val="34"/>
    <w:qFormat/>
    <w:rsid w:val="00d255c3"/>
    <w:pPr>
      <w:spacing w:before="0" w:after="0"/>
      <w:ind w:left="720" w:hanging="0"/>
      <w:contextualSpacing/>
    </w:pPr>
    <w:rPr/>
  </w:style>
  <w:style w:type="paragraph" w:styleId="Default" w:customStyle="1">
    <w:name w:val="Default"/>
    <w:qFormat/>
    <w:rsid w:val="0057209a"/>
    <w:pPr>
      <w:widowControl/>
      <w:bidi w:val="0"/>
      <w:spacing w:lineRule="auto" w:line="240" w:before="0" w:after="0"/>
      <w:jc w:val="left"/>
    </w:pPr>
    <w:rPr>
      <w:rFonts w:ascii="Times New Roman" w:hAnsi="Times New Roman" w:cs="Times New Roman" w:eastAsia="Calibri"/>
      <w:color w:val="000000"/>
      <w:sz w:val="24"/>
      <w:szCs w:val="24"/>
      <w:lang w:val="sk-SK" w:eastAsia="en-US" w:bidi="ar-SA"/>
    </w:rPr>
  </w:style>
  <w:style w:type="paragraph" w:styleId="Revision">
    <w:name w:val="Revision"/>
    <w:uiPriority w:val="99"/>
    <w:semiHidden/>
    <w:qFormat/>
    <w:rsid w:val="00856400"/>
    <w:pPr>
      <w:widowControl/>
      <w:bidi w:val="0"/>
      <w:spacing w:lineRule="auto" w:line="240" w:before="0" w:after="0"/>
      <w:jc w:val="left"/>
    </w:pPr>
    <w:rPr>
      <w:rFonts w:ascii="Times New Roman" w:hAnsi="Times New Roman" w:eastAsia="Times New Roman" w:cs="Times New Roman"/>
      <w:color w:val="auto"/>
      <w:sz w:val="24"/>
      <w:szCs w:val="24"/>
      <w:lang w:val="cs-CZ" w:eastAsia="cs-CZ"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rsid w:val="00055e88"/>
    <w:pPr>
      <w:spacing w:after="0" w:line="240" w:lineRule="auto"/>
    </w:pPr>
    <w:rPr>
      <w:lang w:eastAsia="sk-SK"/>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Mriekatabuky1">
    <w:name w:val="Mriežka tabuľky1"/>
    <w:basedOn w:val="Normlnatabuka"/>
    <w:rsid w:val="00ae05da"/>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D27F80-8700-43A6-8913-653EC63E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Application>LibreOffice/5.3.1.2$Windows_X86_64 LibreOffice_project/e80a0e0fd1875e1696614d24c32df0f95f03deb2</Application>
  <Pages>7</Pages>
  <Words>1786</Words>
  <Characters>11500</Characters>
  <CharactersWithSpaces>13175</CharactersWithSpaces>
  <Paragraphs>157</Paragraphs>
  <Company>UKSUP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2019-10-30T18:53:00Z</dcterms:created>
  <dc:creator>Stolárik Stanislav Ing.</dc:creator>
  <dc:description/>
  <dc:language>sk-SK</dc:language>
  <cp:lastModifiedBy>Barbora Mertová</cp:lastModifiedBy>
  <dcterms:modified xsi:type="dcterms:W3CDTF">2019-11-12T08:41:00Z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UKSUP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y fmtid="{D5CDD505-2E9C-101B-9397-08002B2CF9AE}" pid="10" name="_ReviewCycleID">
    <vt:i4>386404352</vt:i4>
  </property>
  <property fmtid="{D5CDD505-2E9C-101B-9397-08002B2CF9AE}" pid="11" name="_ReviewingToolsShownOnce">
    <vt:lpwstr/>
  </property>
  <property fmtid="{D5CDD505-2E9C-101B-9397-08002B2CF9AE}" pid="12" name="_TentativeReviewCycleID">
    <vt:i4>386404352</vt:i4>
  </property>
</Properties>
</file>