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F5" w:rsidRPr="00C72F81" w:rsidRDefault="00B61AF5" w:rsidP="00B97F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4"/>
        </w:rPr>
        <w:t>Prípravok na ochranu rastlín pre profesionálnych používateľov</w:t>
      </w:r>
    </w:p>
    <w:p w:rsidR="00B61AF5" w:rsidRPr="00C72F81" w:rsidRDefault="00B61AF5" w:rsidP="00B97FB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</w:rPr>
      </w:pPr>
      <w:r>
        <w:rPr>
          <w:rFonts w:ascii="Times New Roman" w:eastAsia="Times New Roman" w:hAnsi="Times New Roman"/>
          <w:b/>
          <w:sz w:val="40"/>
          <w:szCs w:val="20"/>
        </w:rPr>
        <w:t>MANDARIN</w:t>
      </w:r>
      <w:r w:rsidRPr="00132558">
        <w:rPr>
          <w:rFonts w:ascii="Times New Roman" w:eastAsia="Times New Roman" w:hAnsi="Times New Roman"/>
          <w:b/>
          <w:position w:val="6"/>
          <w:sz w:val="40"/>
          <w:szCs w:val="20"/>
          <w:vertAlign w:val="superscript"/>
        </w:rPr>
        <w:t>®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Systémový kombinovaný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fungicíd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vo forme emulzného koncentrátu</w:t>
      </w:r>
      <w:r w:rsidR="00545151">
        <w:rPr>
          <w:rFonts w:ascii="Times New Roman" w:eastAsia="Times New Roman" w:hAnsi="Times New Roman"/>
          <w:sz w:val="24"/>
          <w:szCs w:val="20"/>
        </w:rPr>
        <w:t xml:space="preserve"> (EC)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určený na ochranu obilnín proti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listovým a klasovým chorobám.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ÚČINNÁ LÁTKA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B61AF5" w:rsidRPr="00D802B4" w:rsidTr="00B97FB8">
        <w:tc>
          <w:tcPr>
            <w:tcW w:w="1900" w:type="dxa"/>
          </w:tcPr>
          <w:p w:rsidR="00B61AF5" w:rsidRPr="006C66AB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Bixafen</w:t>
            </w:r>
            <w:proofErr w:type="spellEnd"/>
          </w:p>
        </w:tc>
        <w:tc>
          <w:tcPr>
            <w:tcW w:w="2693" w:type="dxa"/>
          </w:tcPr>
          <w:p w:rsidR="00B61AF5" w:rsidRPr="00C20E86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50 g/l</w:t>
            </w:r>
          </w:p>
          <w:p w:rsidR="00B61AF5" w:rsidRPr="006C66AB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20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(5% hm)</w:t>
            </w:r>
          </w:p>
        </w:tc>
        <w:tc>
          <w:tcPr>
            <w:tcW w:w="4962" w:type="dxa"/>
          </w:tcPr>
          <w:p w:rsidR="00B61AF5" w:rsidRPr="006C66AB" w:rsidRDefault="00B61AF5" w:rsidP="00B97FB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61AF5" w:rsidRPr="00D802B4" w:rsidTr="00B97FB8">
        <w:tc>
          <w:tcPr>
            <w:tcW w:w="1900" w:type="dxa"/>
          </w:tcPr>
          <w:p w:rsidR="00B61AF5" w:rsidRPr="006C66AB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Tebuconazole</w:t>
            </w:r>
          </w:p>
        </w:tc>
        <w:tc>
          <w:tcPr>
            <w:tcW w:w="2693" w:type="dxa"/>
          </w:tcPr>
          <w:p w:rsidR="00B61AF5" w:rsidRPr="00C20E86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20E86">
              <w:rPr>
                <w:rFonts w:ascii="Times New Roman" w:eastAsia="Times New Roman" w:hAnsi="Times New Roman"/>
                <w:b/>
                <w:sz w:val="24"/>
                <w:szCs w:val="20"/>
              </w:rPr>
              <w:t>166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g/l</w:t>
            </w:r>
          </w:p>
          <w:p w:rsidR="00B61AF5" w:rsidRPr="006C66AB" w:rsidRDefault="00B61AF5" w:rsidP="00B97FB8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20E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(16,7% hm)</w:t>
            </w:r>
          </w:p>
        </w:tc>
        <w:tc>
          <w:tcPr>
            <w:tcW w:w="4962" w:type="dxa"/>
          </w:tcPr>
          <w:p w:rsidR="00B61AF5" w:rsidRPr="006C66AB" w:rsidRDefault="00B61AF5" w:rsidP="00B97FB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B61AF5" w:rsidRPr="006C66AB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Látky nebezpečné pre zdravie, ktoré prispievajú ku klasifikácii prípravku</w:t>
      </w:r>
      <w:r w:rsidRPr="00C72F81">
        <w:rPr>
          <w:rFonts w:ascii="Times New Roman" w:eastAsia="Times New Roman" w:hAnsi="Times New Roman"/>
          <w:sz w:val="20"/>
          <w:szCs w:val="20"/>
          <w:lang w:eastAsia="cs-CZ"/>
        </w:rPr>
        <w:t xml:space="preserve">: 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tebuconazole CAS: 107534-96-3, N,N-dimethyldecan-1-amid</w:t>
      </w:r>
      <w:r w:rsidRPr="00C72F81">
        <w:rPr>
          <w:rFonts w:ascii="CenturySchoolbook" w:eastAsia="Times New Roman" w:hAnsi="CenturySchoolbook"/>
          <w:sz w:val="24"/>
          <w:szCs w:val="20"/>
        </w:rPr>
        <w:t xml:space="preserve"> CAS: </w:t>
      </w:r>
      <w:r w:rsidRPr="00C72F81">
        <w:rPr>
          <w:rFonts w:ascii="Times New Roman" w:eastAsia="Times New Roman" w:hAnsi="Times New Roman"/>
          <w:sz w:val="24"/>
          <w:szCs w:val="20"/>
        </w:rPr>
        <w:t>14433-76-2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Označenie prípravku</w:t>
      </w:r>
    </w:p>
    <w:p w:rsidR="00B61AF5" w:rsidRPr="004167BD" w:rsidRDefault="00B61AF5" w:rsidP="00B97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4068" w:type="dxa"/>
        <w:tblInd w:w="-34" w:type="dxa"/>
        <w:tblLook w:val="00A0" w:firstRow="1" w:lastRow="0" w:firstColumn="1" w:lastColumn="0" w:noHBand="0" w:noVBand="0"/>
      </w:tblPr>
      <w:tblGrid>
        <w:gridCol w:w="1356"/>
        <w:gridCol w:w="1356"/>
        <w:gridCol w:w="1356"/>
      </w:tblGrid>
      <w:tr w:rsidR="00B61AF5" w:rsidRPr="004167BD" w:rsidTr="00B97FB8">
        <w:tc>
          <w:tcPr>
            <w:tcW w:w="1356" w:type="dxa"/>
          </w:tcPr>
          <w:p w:rsidR="00B61AF5" w:rsidRPr="004167BD" w:rsidRDefault="00B61AF5" w:rsidP="00B97FB8">
            <w:pPr>
              <w:tabs>
                <w:tab w:val="left" w:pos="1008"/>
              </w:tabs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6E476A2" wp14:editId="05A7C96C">
                  <wp:extent cx="685800" cy="685800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61AF5" w:rsidRPr="004167BD" w:rsidRDefault="00B61AF5" w:rsidP="00B97FB8">
            <w:pPr>
              <w:tabs>
                <w:tab w:val="left" w:pos="1008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E6D9ED" wp14:editId="03431A97">
                  <wp:extent cx="685800" cy="68580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B61AF5" w:rsidRPr="004167BD" w:rsidRDefault="00B61AF5" w:rsidP="00B97FB8">
            <w:pPr>
              <w:tabs>
                <w:tab w:val="left" w:pos="1008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5FBCE4" wp14:editId="33DE4CD9">
                  <wp:extent cx="685800" cy="685800"/>
                  <wp:effectExtent l="0" t="0" r="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F5" w:rsidRPr="004167BD" w:rsidTr="00B97FB8">
        <w:tc>
          <w:tcPr>
            <w:tcW w:w="1356" w:type="dxa"/>
          </w:tcPr>
          <w:p w:rsidR="00B61AF5" w:rsidRPr="006C66AB" w:rsidRDefault="00B61AF5" w:rsidP="00B97FB8">
            <w:pPr>
              <w:tabs>
                <w:tab w:val="left" w:pos="1008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C66A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GHS07</w:t>
            </w:r>
          </w:p>
        </w:tc>
        <w:tc>
          <w:tcPr>
            <w:tcW w:w="1356" w:type="dxa"/>
          </w:tcPr>
          <w:p w:rsidR="00B61AF5" w:rsidRPr="006C66AB" w:rsidRDefault="00B61AF5" w:rsidP="00B97FB8">
            <w:pPr>
              <w:tabs>
                <w:tab w:val="left" w:pos="1008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C66A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GHS08</w:t>
            </w:r>
          </w:p>
        </w:tc>
        <w:tc>
          <w:tcPr>
            <w:tcW w:w="1356" w:type="dxa"/>
          </w:tcPr>
          <w:p w:rsidR="00B61AF5" w:rsidRPr="006C66AB" w:rsidRDefault="00B61AF5" w:rsidP="00B97FB8">
            <w:pPr>
              <w:tabs>
                <w:tab w:val="left" w:pos="1008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C66A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GHS09</w:t>
            </w:r>
          </w:p>
        </w:tc>
      </w:tr>
    </w:tbl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61AF5" w:rsidRPr="006950E1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58B6">
        <w:rPr>
          <w:rFonts w:ascii="Times New Roman" w:eastAsia="Times New Roman" w:hAnsi="Times New Roman"/>
          <w:b/>
          <w:sz w:val="28"/>
          <w:szCs w:val="28"/>
          <w:lang w:eastAsia="sk-SK"/>
        </w:rPr>
        <w:t>Pozor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H315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Dráždi kožu.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H317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Môže vyvolať alergickú kožnú reakciu.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H319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Spôsobuje vážne podráždenie očí.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H335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Môže spôsobiť podráždenie dýchacích ciest.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H361fd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Podozrenie z poškodzovania plodnosti. Podozrenie z poškodzovania nenarodeného dieťaťa.</w:t>
      </w:r>
    </w:p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H411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Toxický pre vodné organizmy, s dlhodobými účinkami.</w:t>
      </w:r>
    </w:p>
    <w:p w:rsidR="00B61AF5" w:rsidRPr="00AE276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E2766">
        <w:rPr>
          <w:rFonts w:ascii="Times New Roman" w:eastAsia="Times New Roman" w:hAnsi="Times New Roman"/>
          <w:sz w:val="24"/>
          <w:szCs w:val="20"/>
          <w:lang w:eastAsia="cs-CZ"/>
        </w:rPr>
        <w:t>P261</w:t>
      </w:r>
      <w:r w:rsidRPr="00AE2766">
        <w:rPr>
          <w:rFonts w:ascii="Times New Roman" w:eastAsia="Times New Roman" w:hAnsi="Times New Roman"/>
          <w:sz w:val="24"/>
          <w:szCs w:val="20"/>
          <w:lang w:eastAsia="cs-CZ"/>
        </w:rPr>
        <w:tab/>
        <w:t>Zabráňte vdychovaniu prachu/dymu/plynu/hmly/pár/aerosólov.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>P273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Zabráňte uvoľneniu do životného prostredia.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>P280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Noste ochranné rukavice/ochranný odev/ochranné okuliare/ochranu tváre.</w:t>
      </w:r>
    </w:p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P391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Zozbierajte uniknutý produkt.</w:t>
      </w:r>
    </w:p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P302 + P352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AE2766">
        <w:rPr>
          <w:rFonts w:ascii="Times New Roman" w:eastAsia="Times New Roman" w:hAnsi="Times New Roman"/>
          <w:sz w:val="24"/>
          <w:szCs w:val="20"/>
          <w:lang w:eastAsia="cs-CZ"/>
        </w:rPr>
        <w:t>PRI KONTAKTE S POKOŽ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KOU: Umyte veľkým množstvom vody a mydla.</w:t>
      </w:r>
    </w:p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P305 + P351 </w:t>
      </w:r>
    </w:p>
    <w:p w:rsidR="00B61AF5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+ P338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AE2766">
        <w:rPr>
          <w:rFonts w:ascii="Times New Roman" w:eastAsia="Times New Roman" w:hAnsi="Times New Roman"/>
          <w:sz w:val="24"/>
          <w:szCs w:val="20"/>
          <w:lang w:eastAsia="cs-CZ"/>
        </w:rPr>
        <w:t xml:space="preserve">PO ZASIAHNUTÍ OČÍ: Niekoľko minút ich opatrne vyplachujte vodou. Ak používate kontaktné šošovky a ak je to možné, odstráňte ich. Pokračujte </w:t>
      </w:r>
      <w:r w:rsidR="00B8135D" w:rsidRPr="00AE2766">
        <w:rPr>
          <w:rFonts w:ascii="Times New Roman" w:eastAsia="Times New Roman" w:hAnsi="Times New Roman"/>
          <w:sz w:val="24"/>
          <w:szCs w:val="20"/>
          <w:lang w:eastAsia="cs-CZ"/>
        </w:rPr>
        <w:t>vo</w:t>
      </w:r>
      <w:r w:rsidR="00B8135D">
        <w:rPr>
          <w:rFonts w:ascii="Times New Roman" w:eastAsia="Times New Roman" w:hAnsi="Times New Roman"/>
          <w:sz w:val="24"/>
          <w:szCs w:val="20"/>
          <w:lang w:eastAsia="cs-CZ"/>
        </w:rPr>
        <w:t> </w:t>
      </w:r>
      <w:r w:rsidRPr="00AE2766">
        <w:rPr>
          <w:rFonts w:ascii="Times New Roman" w:eastAsia="Times New Roman" w:hAnsi="Times New Roman"/>
          <w:sz w:val="24"/>
          <w:szCs w:val="20"/>
          <w:lang w:eastAsia="cs-CZ"/>
        </w:rPr>
        <w:t>vyplachovaní.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>P308 + P313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Po expozícii alebo podozrení z nej: Vyhľadajte lekársku pomoc/starostlivosť.</w:t>
      </w:r>
    </w:p>
    <w:p w:rsidR="00B61AF5" w:rsidRPr="00C20E86" w:rsidRDefault="00B61AF5" w:rsidP="00B97FB8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>P333 + P313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Ak sa prejaví podráždenie pokožky alebo sa vytvoria vyrážky: vyhľadajte lekársku pomoc/starostlivosť.</w:t>
      </w:r>
    </w:p>
    <w:p w:rsidR="00B61AF5" w:rsidRDefault="00B61AF5" w:rsidP="00545151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>P501</w:t>
      </w:r>
      <w:r w:rsidRPr="00C20E86">
        <w:rPr>
          <w:rFonts w:ascii="Times New Roman" w:eastAsia="Times New Roman" w:hAnsi="Times New Roman"/>
          <w:sz w:val="24"/>
          <w:szCs w:val="20"/>
          <w:lang w:eastAsia="cs-CZ"/>
        </w:rPr>
        <w:tab/>
        <w:t>Zneškodnite obsah/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nádobu ako nebezpečný odpad v súlade s miestnymi/národnými predpismi.</w:t>
      </w:r>
    </w:p>
    <w:p w:rsidR="00B8135D" w:rsidRPr="00C20E86" w:rsidRDefault="00B8135D" w:rsidP="00545151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</w:p>
    <w:p w:rsidR="00545151" w:rsidRDefault="00545151" w:rsidP="00545151">
      <w:pPr>
        <w:widowControl w:val="0"/>
        <w:tabs>
          <w:tab w:val="left" w:pos="7215"/>
        </w:tabs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EUH 401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Dodržiavajte návod na používanie, aby ste zabránili vzniku rizík pre</w:t>
      </w:r>
      <w:r w:rsidR="00B8135D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C20E86">
        <w:rPr>
          <w:rFonts w:ascii="Times New Roman" w:eastAsia="Times New Roman" w:hAnsi="Times New Roman"/>
          <w:b/>
          <w:sz w:val="24"/>
          <w:szCs w:val="20"/>
          <w:lang w:eastAsia="cs-CZ"/>
        </w:rPr>
        <w:t>zdravie ľudí a životné prostredie.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B61AF5" w:rsidRDefault="00B61AF5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SP 1</w:t>
      </w:r>
      <w:r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Pr="00CE594B">
        <w:rPr>
          <w:rFonts w:ascii="Times New Roman" w:eastAsia="Times New Roman" w:hAnsi="Times New Roman"/>
          <w:b/>
          <w:sz w:val="24"/>
          <w:szCs w:val="20"/>
        </w:rPr>
        <w:t>Neznečisťujte vodu prípravkom alebo jeho obalom (Nečistite aplikačné zariadenie v blízkosti povrchových vôd/Zabráňte kontaminácii prostredníctvom odtokových kanálov z poľnohospodárskych dvorov a vozoviek).</w:t>
      </w:r>
    </w:p>
    <w:p w:rsidR="00B61AF5" w:rsidRPr="00C72F81" w:rsidRDefault="0025390B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</w:rPr>
        <w:t>SPe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0"/>
        </w:rPr>
        <w:tab/>
        <w:t xml:space="preserve">Z </w:t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dôvodu ochrany vodných organizmov udržia</w:t>
      </w:r>
      <w:r>
        <w:rPr>
          <w:rFonts w:ascii="Times New Roman" w:eastAsia="Times New Roman" w:hAnsi="Times New Roman"/>
          <w:b/>
          <w:sz w:val="24"/>
          <w:szCs w:val="20"/>
        </w:rPr>
        <w:t>vajte medzi ošetrovanou plochou</w:t>
      </w:r>
      <w:r>
        <w:rPr>
          <w:rFonts w:ascii="Times New Roman" w:eastAsia="Times New Roman" w:hAnsi="Times New Roman"/>
          <w:b/>
          <w:sz w:val="24"/>
          <w:szCs w:val="20"/>
        </w:rPr>
        <w:br/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a</w:t>
      </w:r>
      <w:r w:rsidR="00B61AF5">
        <w:rPr>
          <w:rFonts w:ascii="Times New Roman" w:eastAsia="Times New Roman" w:hAnsi="Times New Roman"/>
          <w:b/>
          <w:sz w:val="24"/>
          <w:szCs w:val="20"/>
        </w:rPr>
        <w:t> </w:t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 xml:space="preserve">povrchovými vodnými plochami ochranný pás zeme v dĺžke 4 m.  </w:t>
      </w:r>
    </w:p>
    <w:p w:rsidR="00B61AF5" w:rsidRPr="00C72F81" w:rsidRDefault="0025390B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4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Riziko vyplývajúce z použitia prípravku pri dodržaní predpísanej dávky alebo koncentrácie je pre domáce, hospodárske a voľne žijúce zvieratá relatívne prijateľné.</w:t>
      </w:r>
    </w:p>
    <w:p w:rsidR="00B61AF5" w:rsidRDefault="0025390B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Vt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5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Riziko vyplývajúce z použitia prípravku pri dodržaní predpísanej dávky alebo koncentrácie je pre vtáky prijateľné</w:t>
      </w:r>
      <w:r w:rsidR="00B61AF5">
        <w:rPr>
          <w:rFonts w:ascii="Times New Roman" w:eastAsia="Times New Roman" w:hAnsi="Times New Roman"/>
          <w:b/>
          <w:sz w:val="24"/>
          <w:szCs w:val="20"/>
        </w:rPr>
        <w:t>.</w:t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B61AF5" w:rsidRPr="00C72F81" w:rsidRDefault="0025390B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Vo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2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Pre ryby a ostatné vodné organizmy jedovatý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.</w:t>
      </w:r>
    </w:p>
    <w:p w:rsidR="00B61AF5" w:rsidRPr="00C72F81" w:rsidRDefault="0025390B" w:rsidP="0025390B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3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="00B61AF5" w:rsidRPr="00CE594B">
        <w:rPr>
          <w:rFonts w:ascii="Times New Roman" w:eastAsia="Times New Roman" w:hAnsi="Times New Roman"/>
          <w:b/>
          <w:sz w:val="24"/>
          <w:szCs w:val="20"/>
        </w:rPr>
        <w:t>Riziko prípravku je prijateľné pre dážď</w:t>
      </w:r>
      <w:r w:rsidR="00B61AF5">
        <w:rPr>
          <w:rFonts w:ascii="Times New Roman" w:eastAsia="Times New Roman" w:hAnsi="Times New Roman"/>
          <w:b/>
          <w:sz w:val="24"/>
          <w:szCs w:val="20"/>
        </w:rPr>
        <w:t>ovky a iné pôdne makroorganizmy</w:t>
      </w:r>
      <w:r w:rsidR="00B61AF5" w:rsidRPr="00C72F81">
        <w:rPr>
          <w:rFonts w:ascii="Times New Roman" w:eastAsia="Times New Roman" w:hAnsi="Times New Roman"/>
          <w:b/>
          <w:sz w:val="24"/>
          <w:szCs w:val="20"/>
        </w:rPr>
        <w:t>.</w:t>
      </w:r>
    </w:p>
    <w:p w:rsidR="00B61AF5" w:rsidRDefault="00B61AF5" w:rsidP="00B97FB8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C72F81">
        <w:rPr>
          <w:rFonts w:ascii="Times New Roman" w:eastAsia="Times New Roman" w:hAnsi="Times New Roman"/>
          <w:b/>
          <w:sz w:val="24"/>
          <w:szCs w:val="20"/>
        </w:rPr>
        <w:t>Vč</w:t>
      </w:r>
      <w:proofErr w:type="spellEnd"/>
      <w:r w:rsidRPr="00C72F81">
        <w:rPr>
          <w:rFonts w:ascii="Times New Roman" w:eastAsia="Times New Roman" w:hAnsi="Times New Roman"/>
          <w:b/>
          <w:sz w:val="24"/>
          <w:szCs w:val="20"/>
        </w:rPr>
        <w:t xml:space="preserve"> 3</w:t>
      </w:r>
      <w:r w:rsidRPr="00C72F81">
        <w:rPr>
          <w:rFonts w:ascii="Times New Roman" w:eastAsia="Times New Roman" w:hAnsi="Times New Roman"/>
          <w:b/>
          <w:sz w:val="24"/>
          <w:szCs w:val="20"/>
        </w:rPr>
        <w:tab/>
      </w:r>
      <w:r w:rsidRPr="00CE594B">
        <w:rPr>
          <w:rFonts w:ascii="Times New Roman" w:eastAsia="Times New Roman" w:hAnsi="Times New Roman"/>
          <w:b/>
          <w:sz w:val="24"/>
          <w:szCs w:val="20"/>
        </w:rPr>
        <w:t>Prípravok pre včely s prijateľným rizikom pri dodržaní predpísanej dávky alebo koncentrácie</w:t>
      </w:r>
      <w:r>
        <w:rPr>
          <w:rFonts w:ascii="Times New Roman" w:eastAsia="Times New Roman" w:hAnsi="Times New Roman"/>
          <w:b/>
          <w:sz w:val="24"/>
          <w:szCs w:val="20"/>
        </w:rPr>
        <w:t>.</w:t>
      </w:r>
    </w:p>
    <w:p w:rsidR="00B61AF5" w:rsidRDefault="00B61AF5" w:rsidP="00B97FB8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ab/>
        <w:t>Za účelom ochrany necieľových článkonožcov dodržte neošetrené ochranné pásmo 5 m od okraja ošetrovaného pozemku.</w:t>
      </w:r>
    </w:p>
    <w:p w:rsidR="00B61AF5" w:rsidRPr="00C72F81" w:rsidRDefault="00B61AF5" w:rsidP="00B97FB8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ab/>
        <w:t xml:space="preserve">Prípravok je pre populácie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Typhlodromus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pyri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,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Aphidius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rhopalosiphi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,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Chrysoperla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carnea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a 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Coccinella</w:t>
      </w:r>
      <w:proofErr w:type="spellEnd"/>
      <w:r w:rsidRPr="008213B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proofErr w:type="spellStart"/>
      <w:r w:rsidRPr="008213BE">
        <w:rPr>
          <w:rFonts w:ascii="Times New Roman" w:eastAsia="Times New Roman" w:hAnsi="Times New Roman"/>
          <w:b/>
          <w:i/>
          <w:sz w:val="24"/>
          <w:szCs w:val="20"/>
        </w:rPr>
        <w:t>septempunctata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s prijateľným rizikom pri dodržaní predpísanej dávky alebo koncentrácie a dodržaní návodu na použitie.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2F81">
        <w:rPr>
          <w:rFonts w:ascii="Times New Roman" w:eastAsia="Times New Roman" w:hAnsi="Times New Roman"/>
          <w:b/>
          <w:sz w:val="24"/>
          <w:szCs w:val="24"/>
        </w:rPr>
        <w:t>Zákaz používania prípravku v 1. ochrannom pásme zdrojov pitných vôd!</w:t>
      </w:r>
    </w:p>
    <w:p w:rsidR="00B61AF5" w:rsidRPr="00C72F81" w:rsidRDefault="00B61AF5" w:rsidP="00C134D1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413A">
        <w:rPr>
          <w:rFonts w:ascii="Times New Roman" w:eastAsia="Times New Roman" w:hAnsi="Times New Roman"/>
          <w:b/>
          <w:sz w:val="24"/>
          <w:szCs w:val="24"/>
        </w:rPr>
        <w:t>PHO1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CE594B">
        <w:rPr>
          <w:rFonts w:ascii="Times New Roman" w:eastAsia="Times New Roman" w:hAnsi="Times New Roman"/>
          <w:b/>
          <w:sz w:val="24"/>
          <w:szCs w:val="24"/>
        </w:rPr>
        <w:t>Prípravky sú vylúčené z použitia vo vnútornej časti 2. ochranného pásma zdrojov podzemných i povrchových vôd (pokiaľ nie je v konkrétnych prípadoch 2. ochranné pásmo rozdelené na vnútornú a vonkajšiu časť, platí zákaz pre celé 2. pásmo).</w:t>
      </w:r>
    </w:p>
    <w:p w:rsidR="00B8135D" w:rsidRDefault="00B8135D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2F81">
        <w:rPr>
          <w:rFonts w:ascii="Times New Roman" w:eastAsia="Times New Roman" w:hAnsi="Times New Roman"/>
          <w:b/>
          <w:sz w:val="24"/>
          <w:szCs w:val="24"/>
        </w:rPr>
        <w:t xml:space="preserve">Dbajte o to, aby sa prípravok v žiadnom prípade nedostal do tečúcich a stojatých vôd </w:t>
      </w:r>
      <w:r w:rsidR="00B8135D" w:rsidRPr="00C72F81">
        <w:rPr>
          <w:rFonts w:ascii="Times New Roman" w:eastAsia="Times New Roman" w:hAnsi="Times New Roman"/>
          <w:b/>
          <w:sz w:val="24"/>
          <w:szCs w:val="24"/>
        </w:rPr>
        <w:t>vo</w:t>
      </w:r>
      <w:r w:rsidR="00B8135D">
        <w:rPr>
          <w:rFonts w:ascii="Times New Roman" w:eastAsia="Times New Roman" w:hAnsi="Times New Roman"/>
          <w:b/>
          <w:sz w:val="24"/>
          <w:szCs w:val="24"/>
        </w:rPr>
        <w:t> </w:t>
      </w:r>
      <w:r w:rsidRPr="00C72F81">
        <w:rPr>
          <w:rFonts w:ascii="Times New Roman" w:eastAsia="Times New Roman" w:hAnsi="Times New Roman"/>
          <w:b/>
          <w:sz w:val="24"/>
          <w:szCs w:val="24"/>
        </w:rPr>
        <w:t>voľnej prírode!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Môže poškodiť zdravie po požití, nadýchaní, styku s pokožkou a sliznicami! Chráňte pred</w:t>
      </w:r>
      <w:r>
        <w:rPr>
          <w:rFonts w:ascii="Times New Roman" w:eastAsia="Times New Roman" w:hAnsi="Times New Roman"/>
          <w:b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b/>
          <w:sz w:val="24"/>
          <w:szCs w:val="20"/>
        </w:rPr>
        <w:t>deťmi a nepoučenými osobami!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Neaplikujte v blízkosti hladín tečúcich a stojatých vôd! Dodržiavajte odporučenú ochrannú zónu! 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Zabráňte kontaminácii vôd samovoľným splavením prípravku z ošetrených plôch!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Zákaz vylievať zvyšky prípravku a postrekovej zmesi do verejnej kanalizácie!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Pri používaní prípravku dodržiavajte zásady správnej poľnohospodárskej praxe.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72F81">
        <w:rPr>
          <w:rFonts w:ascii="Times New Roman" w:eastAsia="Times New Roman" w:hAnsi="Times New Roman"/>
          <w:b/>
          <w:sz w:val="24"/>
          <w:szCs w:val="24"/>
        </w:rPr>
        <w:t>Aplikujte v bezletovom čase včiel, najlepšie neskoro večer.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Uložte mimo dosahu zvierat!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PRÍPRAVOK V TOMTO VEĽKOSPOTREBITEĽSKOM BALENÍ NESMIE BYŤ PONÚKANÝ ALEBO PREDÁVANÝ ŠIROKEJ VEREJNOSTI!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608"/>
        <w:gridCol w:w="5809"/>
      </w:tblGrid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Držiteľ autorizácie: 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Bayer spol. s r.o. </w:t>
            </w:r>
          </w:p>
          <w:p w:rsidR="0025390B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Karadžičova 2</w:t>
            </w:r>
          </w:p>
          <w:p w:rsidR="00B61AF5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811 09 </w:t>
            </w:r>
            <w:r w:rsidRPr="00C72F8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Bratislava</w:t>
            </w:r>
          </w:p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Slovenská republika</w:t>
            </w: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Číslo autorizácie ÚKSÚP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17-00132-AU</w:t>
            </w:r>
          </w:p>
          <w:p w:rsidR="0025390B" w:rsidRPr="00C72F81" w:rsidRDefault="0025390B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Dátum výroby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uvedené na obale</w:t>
            </w: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Číslo výrobnej šarže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uvedené na obale</w:t>
            </w:r>
          </w:p>
        </w:tc>
      </w:tr>
      <w:tr w:rsidR="00B8135D" w:rsidRPr="00C72F81" w:rsidTr="006950E1">
        <w:tc>
          <w:tcPr>
            <w:tcW w:w="3608" w:type="dxa"/>
            <w:shd w:val="clear" w:color="auto" w:fill="auto"/>
          </w:tcPr>
          <w:p w:rsidR="00B8135D" w:rsidRPr="00C72F81" w:rsidRDefault="00B8135D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8135D" w:rsidRPr="00C72F81" w:rsidRDefault="00B8135D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Balenie: </w:t>
            </w: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 l </w:t>
            </w:r>
            <w:r w:rsidR="005451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HDPE, coex HDPE/PA, coex 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HDPE/EVOH fľaša</w:t>
            </w:r>
          </w:p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 l a 15 l </w:t>
            </w:r>
            <w:r w:rsidR="005451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HDPE, coex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HDPE/PA</w:t>
            </w:r>
            <w:r w:rsidR="0054515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coex HDPE/EVOH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kanister</w:t>
            </w:r>
          </w:p>
        </w:tc>
      </w:tr>
      <w:tr w:rsidR="00B61AF5" w:rsidRPr="00C72F81" w:rsidTr="006950E1">
        <w:tc>
          <w:tcPr>
            <w:tcW w:w="3608" w:type="dxa"/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tcBorders>
              <w:left w:val="nil"/>
            </w:tcBorders>
            <w:shd w:val="clear" w:color="auto" w:fill="auto"/>
          </w:tcPr>
          <w:p w:rsidR="00B61AF5" w:rsidRPr="00C72F81" w:rsidRDefault="00B61AF5" w:rsidP="00B97FB8">
            <w:pPr>
              <w:widowControl w:val="0"/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MANDARIN</w:t>
      </w:r>
      <w:r w:rsidRPr="00C72F81">
        <w:rPr>
          <w:rFonts w:ascii="Times New Roman" w:eastAsia="Times New Roman" w:hAnsi="Times New Roman"/>
          <w:position w:val="6"/>
          <w:sz w:val="24"/>
          <w:szCs w:val="20"/>
        </w:rPr>
        <w:t>®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je registrovaná ochranná známka spoločnosti Bayer</w:t>
      </w:r>
      <w:r>
        <w:rPr>
          <w:rFonts w:ascii="Times New Roman" w:eastAsia="Times New Roman" w:hAnsi="Times New Roman"/>
          <w:sz w:val="24"/>
          <w:szCs w:val="20"/>
        </w:rPr>
        <w:t xml:space="preserve"> AG</w:t>
      </w:r>
      <w:r w:rsidRPr="00C72F81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b/>
          <w:caps/>
          <w:sz w:val="24"/>
          <w:szCs w:val="20"/>
        </w:rPr>
        <w:t xml:space="preserve"> 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0"/>
        </w:rPr>
        <w:t>Pôsobenie prípravku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MANDARIN</w:t>
      </w:r>
      <w:r w:rsidRPr="00C72F81">
        <w:rPr>
          <w:rFonts w:ascii="Times New Roman" w:eastAsia="Times New Roman" w:hAnsi="Times New Roman"/>
          <w:position w:val="6"/>
          <w:sz w:val="24"/>
          <w:szCs w:val="20"/>
        </w:rPr>
        <w:t>®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je kombinovaný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fungicíd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s preventívnym, kuratívnym a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eradikatívnym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účinkom. Je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účinný proti širokému spektru hubových chorôb.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B</w:t>
      </w:r>
      <w:r w:rsidRPr="00C72F81">
        <w:rPr>
          <w:rFonts w:ascii="Times New Roman" w:eastAsia="Times New Roman" w:hAnsi="Times New Roman"/>
          <w:sz w:val="24"/>
          <w:szCs w:val="20"/>
        </w:rPr>
        <w:t>ixafen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patrí do chemickej skupiny účinných látok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carboxamidov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, ktoré pôsobia ako inhibítory enzýmu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sukcinát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dehydrogenázy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v ko</w:t>
      </w:r>
      <w:r>
        <w:rPr>
          <w:rFonts w:ascii="Times New Roman" w:eastAsia="Times New Roman" w:hAnsi="Times New Roman"/>
          <w:sz w:val="24"/>
          <w:szCs w:val="20"/>
        </w:rPr>
        <w:t xml:space="preserve">mplexe 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dýchacieho reťazca húb (SDH-inhibítor).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Účinná látka tebuconazole je systémovo pôsobiaca účinná látka zo skupiny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triazolov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. Pôsobí ako inhibítor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demethylácie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(DMI) v rámci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biosyntézy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sterolov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hubových patogénov. Má hĺbkovo systémové pôsobenie s preventívnym, kuratívnym a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eradikatívnym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účinkom s dlhou dobou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perzistencie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. V rastlinách je transportovaná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akropetálne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, a tak zaisťuje ochranu aj novo rastúcich častí rastlín. Vývoj húb zastavuje inhibíciou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biosyntézy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sterolov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v bunkových membránach.</w:t>
      </w:r>
    </w:p>
    <w:p w:rsidR="00B61AF5" w:rsidRPr="00C72F81" w:rsidRDefault="00B61AF5" w:rsidP="00B97FB8">
      <w:pPr>
        <w:spacing w:after="0" w:line="240" w:lineRule="auto"/>
        <w:rPr>
          <w:rFonts w:ascii="CenturySchoolbook" w:eastAsia="Times New Roman" w:hAnsi="CenturySchoolbook"/>
          <w:b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rPr>
          <w:rFonts w:ascii="CenturySchoolbook" w:eastAsia="Times New Roman" w:hAnsi="CenturySchoolbook"/>
          <w:b/>
          <w:sz w:val="24"/>
          <w:szCs w:val="20"/>
        </w:rPr>
      </w:pPr>
      <w:r w:rsidRPr="00C72F81">
        <w:rPr>
          <w:rFonts w:ascii="CenturySchoolbook" w:eastAsia="Times New Roman" w:hAnsi="CenturySchoolbook"/>
          <w:b/>
          <w:sz w:val="24"/>
          <w:szCs w:val="20"/>
        </w:rPr>
        <w:t xml:space="preserve">NÁVOD NA POUŽITIE </w:t>
      </w:r>
    </w:p>
    <w:tbl>
      <w:tblPr>
        <w:tblW w:w="925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731"/>
        <w:gridCol w:w="1440"/>
        <w:gridCol w:w="1170"/>
        <w:gridCol w:w="2070"/>
      </w:tblGrid>
      <w:tr w:rsidR="00B61AF5" w:rsidRPr="00C72F81" w:rsidTr="00C134D1">
        <w:trPr>
          <w:cantSplit/>
          <w:trHeight w:val="427"/>
        </w:trPr>
        <w:tc>
          <w:tcPr>
            <w:tcW w:w="1843" w:type="dxa"/>
            <w:shd w:val="clear" w:color="auto" w:fill="C0C0C0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577D">
              <w:rPr>
                <w:rFonts w:ascii="Times New Roman" w:eastAsia="Times New Roman" w:hAnsi="Times New Roman"/>
                <w:b/>
                <w:sz w:val="24"/>
                <w:szCs w:val="28"/>
              </w:rPr>
              <w:t>Plodina</w:t>
            </w:r>
          </w:p>
        </w:tc>
        <w:tc>
          <w:tcPr>
            <w:tcW w:w="2731" w:type="dxa"/>
            <w:shd w:val="clear" w:color="auto" w:fill="C0C0C0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8"/>
              </w:rPr>
              <w:t>Účel použitia</w:t>
            </w:r>
          </w:p>
        </w:tc>
        <w:tc>
          <w:tcPr>
            <w:tcW w:w="1440" w:type="dxa"/>
            <w:shd w:val="clear" w:color="auto" w:fill="C0C0C0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4"/>
              </w:rPr>
              <w:t>Dávka/ha</w:t>
            </w:r>
          </w:p>
        </w:tc>
        <w:tc>
          <w:tcPr>
            <w:tcW w:w="1170" w:type="dxa"/>
            <w:shd w:val="clear" w:color="auto" w:fill="C0C0C0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8"/>
              </w:rPr>
              <w:t>Ochranná doba</w:t>
            </w:r>
          </w:p>
        </w:tc>
        <w:tc>
          <w:tcPr>
            <w:tcW w:w="2070" w:type="dxa"/>
            <w:shd w:val="clear" w:color="auto" w:fill="C0C0C0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8"/>
              </w:rPr>
              <w:t>Poznámka</w:t>
            </w:r>
          </w:p>
        </w:tc>
      </w:tr>
      <w:tr w:rsidR="00B61AF5" w:rsidRPr="00C72F81" w:rsidTr="00C134D1">
        <w:trPr>
          <w:cantSplit/>
          <w:trHeight w:val="1520"/>
        </w:trPr>
        <w:tc>
          <w:tcPr>
            <w:tcW w:w="1843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 xml:space="preserve">pšenica ozimná, </w:t>
            </w: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br/>
              <w:t xml:space="preserve">pšenica jarná, raž, </w:t>
            </w:r>
            <w:proofErr w:type="spellStart"/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>tritikale</w:t>
            </w:r>
            <w:proofErr w:type="spellEnd"/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múčnatka trávová,</w:t>
            </w: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septorióza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pšenice, 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septorióza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plevová,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helmintosporióza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pšenice (DTR)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1,2- 1,5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AF5" w:rsidRPr="00C72F81" w:rsidTr="00C134D1">
        <w:trPr>
          <w:cantSplit/>
          <w:trHeight w:val="971"/>
        </w:trPr>
        <w:tc>
          <w:tcPr>
            <w:tcW w:w="1843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 xml:space="preserve">pšenica ozimná, </w:t>
            </w: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br/>
              <w:t xml:space="preserve">pšenica jarná, raž, </w:t>
            </w:r>
            <w:proofErr w:type="spellStart"/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>tritikale</w:t>
            </w:r>
            <w:proofErr w:type="spellEnd"/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hrdza pšeničná, 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hrdza plevová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1,2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AF5" w:rsidRPr="00C72F81" w:rsidTr="00C134D1">
        <w:trPr>
          <w:cantSplit/>
          <w:trHeight w:val="620"/>
        </w:trPr>
        <w:tc>
          <w:tcPr>
            <w:tcW w:w="1843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 xml:space="preserve">pšenica ozimná, 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 xml:space="preserve">pšenica jarná, </w:t>
            </w:r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fuzariózy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klasov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1,5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AF5" w:rsidRPr="00C72F81" w:rsidTr="00C134D1">
        <w:trPr>
          <w:cantSplit/>
          <w:trHeight w:val="881"/>
        </w:trPr>
        <w:tc>
          <w:tcPr>
            <w:tcW w:w="1843" w:type="dxa"/>
            <w:vMerge w:val="restart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 xml:space="preserve">jačmeň ozimný, </w:t>
            </w: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br/>
              <w:t>jačmeň jarný</w:t>
            </w:r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múčnatka trávová, 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ramuláriová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škvrnitosť jačmeňa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1,2 – 1,5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AF5" w:rsidRPr="00C72F81" w:rsidTr="00C134D1">
        <w:trPr>
          <w:cantSplit/>
          <w:trHeight w:val="1151"/>
        </w:trPr>
        <w:tc>
          <w:tcPr>
            <w:tcW w:w="1843" w:type="dxa"/>
            <w:vMerge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hnedá škvrnitosť jačmeňa,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rynchospóriová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škvrnitosť jačmeňa,</w:t>
            </w:r>
          </w:p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hrdza jačmenná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0,9 – 1,2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AF5" w:rsidRPr="00C72F81" w:rsidTr="00C134D1">
        <w:trPr>
          <w:cantSplit/>
          <w:trHeight w:val="440"/>
        </w:trPr>
        <w:tc>
          <w:tcPr>
            <w:tcW w:w="1843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</w:pPr>
            <w:r w:rsidRPr="00C72F8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cs-CZ"/>
              </w:rPr>
              <w:t>jačmeň jarný</w:t>
            </w:r>
          </w:p>
        </w:tc>
        <w:tc>
          <w:tcPr>
            <w:tcW w:w="2731" w:type="dxa"/>
          </w:tcPr>
          <w:p w:rsidR="00B61AF5" w:rsidRPr="00C72F81" w:rsidRDefault="00B61AF5" w:rsidP="00B97FB8">
            <w:pPr>
              <w:spacing w:after="0" w:line="240" w:lineRule="auto"/>
              <w:ind w:left="113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</w:pPr>
            <w:proofErr w:type="spellStart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>fuzariózy</w:t>
            </w:r>
            <w:proofErr w:type="spellEnd"/>
            <w:r w:rsidRPr="00C72F8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cs-CZ"/>
              </w:rPr>
              <w:t xml:space="preserve"> klasov</w:t>
            </w:r>
          </w:p>
        </w:tc>
        <w:tc>
          <w:tcPr>
            <w:tcW w:w="1440" w:type="dxa"/>
          </w:tcPr>
          <w:p w:rsidR="00B61AF5" w:rsidRPr="00C72F81" w:rsidRDefault="00B61AF5" w:rsidP="00344661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4"/>
              </w:rPr>
              <w:t>1,5 l</w:t>
            </w:r>
          </w:p>
        </w:tc>
        <w:tc>
          <w:tcPr>
            <w:tcW w:w="11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dní</w:t>
            </w:r>
          </w:p>
        </w:tc>
        <w:tc>
          <w:tcPr>
            <w:tcW w:w="2070" w:type="dxa"/>
          </w:tcPr>
          <w:p w:rsidR="00B61AF5" w:rsidRPr="00C72F81" w:rsidRDefault="00B61AF5" w:rsidP="00B97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61AF5" w:rsidRDefault="00B61AF5" w:rsidP="00B97F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POKYNY PRE APLIKÁCIU</w:t>
      </w:r>
    </w:p>
    <w:p w:rsidR="00B61AF5" w:rsidRPr="00C72F81" w:rsidRDefault="00B61AF5" w:rsidP="00B97F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4"/>
        </w:rPr>
        <w:t xml:space="preserve">Optimálna dávka vody je 200 až 400 l/ha. </w:t>
      </w:r>
    </w:p>
    <w:p w:rsidR="00B8135D" w:rsidRDefault="00B61AF5" w:rsidP="00695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134D1">
        <w:rPr>
          <w:rFonts w:ascii="Times New Roman" w:eastAsia="Times New Roman" w:hAnsi="Times New Roman"/>
          <w:sz w:val="24"/>
          <w:szCs w:val="20"/>
        </w:rPr>
        <w:t>Maximálny počet aplikácií: 1x</w:t>
      </w:r>
    </w:p>
    <w:p w:rsidR="006950E1" w:rsidRPr="006950E1" w:rsidRDefault="006950E1" w:rsidP="00695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Listové choroby:</w:t>
      </w:r>
    </w:p>
    <w:p w:rsidR="00B61AF5" w:rsidRPr="0025390B" w:rsidRDefault="00B61AF5" w:rsidP="00253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Ošetrenie proti listovým chorobám vykonávajte v rastovom štádiu od začiatku predlžovania stebla, po kon</w:t>
      </w:r>
      <w:r>
        <w:rPr>
          <w:rFonts w:ascii="Times New Roman" w:eastAsia="Times New Roman" w:hAnsi="Times New Roman"/>
          <w:sz w:val="24"/>
          <w:szCs w:val="20"/>
        </w:rPr>
        <w:t>i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ec klasenia (BBCH 30 (32)-59). </w:t>
      </w:r>
    </w:p>
    <w:p w:rsidR="00B61AF5" w:rsidRPr="00C72F81" w:rsidRDefault="00B61AF5" w:rsidP="002539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</w:rPr>
        <w:t>Fuzariózy</w:t>
      </w:r>
      <w:proofErr w:type="spellEnd"/>
      <w:r>
        <w:rPr>
          <w:rFonts w:ascii="Times New Roman" w:eastAsia="Times New Roman" w:hAnsi="Times New Roman"/>
          <w:b/>
          <w:sz w:val="24"/>
          <w:szCs w:val="20"/>
        </w:rPr>
        <w:t xml:space="preserve"> klasov: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Ošetrenie proti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fuzariózam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klasov v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pšenici</w:t>
      </w:r>
      <w:r>
        <w:rPr>
          <w:rFonts w:ascii="Times New Roman" w:eastAsia="Times New Roman" w:hAnsi="Times New Roman"/>
          <w:sz w:val="24"/>
          <w:szCs w:val="20"/>
        </w:rPr>
        <w:t xml:space="preserve"> ozimnej a pšenici jarnej </w:t>
      </w:r>
      <w:r w:rsidRPr="00C72F81">
        <w:rPr>
          <w:rFonts w:ascii="Times New Roman" w:eastAsia="Times New Roman" w:hAnsi="Times New Roman"/>
          <w:sz w:val="24"/>
          <w:szCs w:val="20"/>
        </w:rPr>
        <w:t>vykonávajte v rastovom štádiu od začiatku kvitnutia, po kon</w:t>
      </w:r>
      <w:r>
        <w:rPr>
          <w:rFonts w:ascii="Times New Roman" w:eastAsia="Times New Roman" w:hAnsi="Times New Roman"/>
          <w:sz w:val="24"/>
          <w:szCs w:val="20"/>
        </w:rPr>
        <w:t>i</w:t>
      </w:r>
      <w:r w:rsidRPr="00C72F81">
        <w:rPr>
          <w:rFonts w:ascii="Times New Roman" w:eastAsia="Times New Roman" w:hAnsi="Times New Roman"/>
          <w:sz w:val="24"/>
          <w:szCs w:val="20"/>
        </w:rPr>
        <w:t>ec kvitnutia (BBCH 61-65).</w:t>
      </w:r>
      <w:r w:rsidRPr="00C72F81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Ošetrenie proti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fuzariózam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klasov v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jačme</w:t>
      </w:r>
      <w:r>
        <w:rPr>
          <w:rFonts w:ascii="Times New Roman" w:eastAsia="Times New Roman" w:hAnsi="Times New Roman"/>
          <w:sz w:val="24"/>
          <w:szCs w:val="20"/>
        </w:rPr>
        <w:t xml:space="preserve">ni jarnom </w:t>
      </w:r>
      <w:r w:rsidRPr="00C72F81">
        <w:rPr>
          <w:rFonts w:ascii="Times New Roman" w:eastAsia="Times New Roman" w:hAnsi="Times New Roman"/>
          <w:sz w:val="24"/>
          <w:szCs w:val="20"/>
        </w:rPr>
        <w:t>vykonávajte v rastovom štádiu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C72F81">
        <w:rPr>
          <w:rFonts w:ascii="Times New Roman" w:eastAsia="Times New Roman" w:hAnsi="Times New Roman"/>
          <w:sz w:val="24"/>
          <w:szCs w:val="20"/>
        </w:rPr>
        <w:t>od konca klasenia, do začiatku kvi</w:t>
      </w:r>
      <w:r>
        <w:rPr>
          <w:rFonts w:ascii="Times New Roman" w:eastAsia="Times New Roman" w:hAnsi="Times New Roman"/>
          <w:sz w:val="24"/>
          <w:szCs w:val="20"/>
        </w:rPr>
        <w:t xml:space="preserve">tnutia: prvé peľnice viditeľné </w:t>
      </w:r>
      <w:r w:rsidRPr="00C72F81">
        <w:rPr>
          <w:rFonts w:ascii="Times New Roman" w:eastAsia="Times New Roman" w:hAnsi="Times New Roman"/>
          <w:sz w:val="24"/>
          <w:szCs w:val="20"/>
        </w:rPr>
        <w:t>(BBCH 59-61 ).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4"/>
        </w:rPr>
        <w:t>Ošetrenie nevykonávajte  pri teplotách nad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81">
        <w:rPr>
          <w:rFonts w:ascii="Times New Roman" w:eastAsia="Times New Roman" w:hAnsi="Times New Roman"/>
          <w:sz w:val="24"/>
          <w:szCs w:val="24"/>
        </w:rPr>
        <w:t>+25 ºC a</w:t>
      </w:r>
      <w:r>
        <w:rPr>
          <w:rFonts w:ascii="Times New Roman" w:eastAsia="Times New Roman" w:hAnsi="Times New Roman"/>
          <w:sz w:val="24"/>
          <w:szCs w:val="24"/>
        </w:rPr>
        <w:t xml:space="preserve"> počas </w:t>
      </w:r>
      <w:r w:rsidRPr="00C72F81">
        <w:rPr>
          <w:rFonts w:ascii="Times New Roman" w:eastAsia="Times New Roman" w:hAnsi="Times New Roman"/>
          <w:sz w:val="24"/>
          <w:szCs w:val="24"/>
        </w:rPr>
        <w:t>intenzívneho slnečného svitu. Prípravok aplikujte tak, aby nedošlo k priamemu zasiahnutiu ani k úletu aplikačnej kvapaliny do okolitých porastov. Aplikáciou nesmú byť zasiahnuté necieľové porasty v okolí ošetrovanej plochy. Neaplikujte letecky iba pozemne. Pri aplikácii dodržte  ochrannú vzdialenosť 4 m od tečúcich vôd a vodných nádrží. Je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C72F81">
        <w:rPr>
          <w:rFonts w:ascii="Times New Roman" w:eastAsia="Times New Roman" w:hAnsi="Times New Roman"/>
          <w:sz w:val="24"/>
          <w:szCs w:val="24"/>
        </w:rPr>
        <w:t>potrebné brať</w:t>
      </w:r>
      <w:r>
        <w:rPr>
          <w:rFonts w:ascii="Times New Roman" w:eastAsia="Times New Roman" w:hAnsi="Times New Roman"/>
          <w:sz w:val="24"/>
          <w:szCs w:val="24"/>
        </w:rPr>
        <w:t xml:space="preserve"> ohľad na smer vetra. Zabráňte </w:t>
      </w:r>
      <w:r w:rsidRPr="00C72F81">
        <w:rPr>
          <w:rFonts w:ascii="Times New Roman" w:eastAsia="Times New Roman" w:hAnsi="Times New Roman"/>
          <w:sz w:val="24"/>
          <w:szCs w:val="24"/>
        </w:rPr>
        <w:t xml:space="preserve">kontaminácii vôd prípravkom.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4"/>
        </w:rPr>
        <w:t xml:space="preserve">Informácie o možnej fytotoxicite, odrodovej citlivosti </w:t>
      </w:r>
      <w:r w:rsidR="00B8135D" w:rsidRPr="00C72F81">
        <w:rPr>
          <w:rFonts w:ascii="Times New Roman" w:eastAsia="Times New Roman" w:hAnsi="Times New Roman"/>
          <w:b/>
          <w:caps/>
          <w:sz w:val="24"/>
          <w:szCs w:val="24"/>
        </w:rPr>
        <w:t>a</w:t>
      </w:r>
      <w:r w:rsidR="00B8135D">
        <w:rPr>
          <w:rFonts w:ascii="Times New Roman" w:eastAsia="Times New Roman" w:hAnsi="Times New Roman"/>
          <w:b/>
          <w:caps/>
          <w:sz w:val="24"/>
          <w:szCs w:val="24"/>
        </w:rPr>
        <w:t> </w:t>
      </w:r>
      <w:r w:rsidRPr="00C72F81">
        <w:rPr>
          <w:rFonts w:ascii="Times New Roman" w:eastAsia="Times New Roman" w:hAnsi="Times New Roman"/>
          <w:b/>
          <w:caps/>
          <w:sz w:val="24"/>
          <w:szCs w:val="24"/>
        </w:rPr>
        <w:t>všetkých Ďalších priamych a nepriamych nepriaznivých účinkoch na ra</w:t>
      </w:r>
      <w:r>
        <w:rPr>
          <w:rFonts w:ascii="Times New Roman" w:eastAsia="Times New Roman" w:hAnsi="Times New Roman"/>
          <w:b/>
          <w:caps/>
          <w:sz w:val="24"/>
          <w:szCs w:val="24"/>
        </w:rPr>
        <w:t>stliny alebo rastlinné produkty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4"/>
        </w:rPr>
        <w:t xml:space="preserve">Prípravok nevykazuje negatívny </w:t>
      </w:r>
      <w:proofErr w:type="spellStart"/>
      <w:r w:rsidRPr="00C72F81">
        <w:rPr>
          <w:rFonts w:ascii="Times New Roman" w:eastAsia="Times New Roman" w:hAnsi="Times New Roman"/>
          <w:sz w:val="24"/>
          <w:szCs w:val="24"/>
        </w:rPr>
        <w:t>fytotoxický</w:t>
      </w:r>
      <w:proofErr w:type="spellEnd"/>
      <w:r w:rsidRPr="00C72F81">
        <w:rPr>
          <w:rFonts w:ascii="Times New Roman" w:eastAsia="Times New Roman" w:hAnsi="Times New Roman"/>
          <w:sz w:val="24"/>
          <w:szCs w:val="24"/>
        </w:rPr>
        <w:t xml:space="preserve"> efekt na jednotlivé plodiny v spektre jeho použitia.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2F81">
        <w:rPr>
          <w:rFonts w:ascii="Times New Roman" w:eastAsia="Times New Roman" w:hAnsi="Times New Roman"/>
          <w:b/>
          <w:sz w:val="24"/>
          <w:szCs w:val="24"/>
        </w:rPr>
        <w:t>OPATRENIA PROTI VZNIKU REZISTENCIE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C1A22">
        <w:rPr>
          <w:rFonts w:ascii="Times New Roman" w:eastAsia="Times New Roman" w:hAnsi="Times New Roman"/>
          <w:bCs/>
          <w:sz w:val="24"/>
          <w:szCs w:val="24"/>
        </w:rPr>
        <w:t xml:space="preserve">Účinná látka </w:t>
      </w:r>
      <w:proofErr w:type="spellStart"/>
      <w:r w:rsidRPr="008C1A22">
        <w:rPr>
          <w:rFonts w:ascii="Times New Roman" w:eastAsia="Times New Roman" w:hAnsi="Times New Roman"/>
          <w:bCs/>
          <w:sz w:val="24"/>
          <w:szCs w:val="24"/>
        </w:rPr>
        <w:t>bixafen</w:t>
      </w:r>
      <w:proofErr w:type="spellEnd"/>
      <w:r w:rsidRPr="008C1A22">
        <w:rPr>
          <w:rFonts w:ascii="Times New Roman" w:eastAsia="Times New Roman" w:hAnsi="Times New Roman"/>
          <w:bCs/>
          <w:sz w:val="24"/>
          <w:szCs w:val="24"/>
        </w:rPr>
        <w:t xml:space="preserve"> je zaradená do FRAC 7, medzi inhibítory SDH, so stredným až vysokým rizikom rezistencie. Účinná látka </w:t>
      </w:r>
      <w:r>
        <w:rPr>
          <w:rFonts w:ascii="Times New Roman" w:eastAsia="Times New Roman" w:hAnsi="Times New Roman"/>
          <w:bCs/>
          <w:sz w:val="24"/>
          <w:szCs w:val="24"/>
        </w:rPr>
        <w:t>tebuconazole</w:t>
      </w:r>
      <w:r w:rsidRPr="008C1A22">
        <w:rPr>
          <w:rFonts w:ascii="Times New Roman" w:eastAsia="Times New Roman" w:hAnsi="Times New Roman"/>
          <w:bCs/>
          <w:sz w:val="24"/>
          <w:szCs w:val="24"/>
        </w:rPr>
        <w:t xml:space="preserve"> patrí do FRAC 3, medzi tzv. DMI </w:t>
      </w:r>
      <w:proofErr w:type="spellStart"/>
      <w:r w:rsidRPr="008C1A22">
        <w:rPr>
          <w:rFonts w:ascii="Times New Roman" w:eastAsia="Times New Roman" w:hAnsi="Times New Roman"/>
          <w:bCs/>
          <w:sz w:val="24"/>
          <w:szCs w:val="24"/>
        </w:rPr>
        <w:t>fungicídy</w:t>
      </w:r>
      <w:proofErr w:type="spellEnd"/>
      <w:r w:rsidRPr="008C1A22">
        <w:rPr>
          <w:rFonts w:ascii="Times New Roman" w:eastAsia="Times New Roman" w:hAnsi="Times New Roman"/>
          <w:bCs/>
          <w:sz w:val="24"/>
          <w:szCs w:val="24"/>
        </w:rPr>
        <w:t xml:space="preserve"> so</w:t>
      </w:r>
      <w:r>
        <w:rPr>
          <w:rFonts w:ascii="Times New Roman" w:eastAsia="Times New Roman" w:hAnsi="Times New Roman"/>
          <w:bCs/>
          <w:sz w:val="24"/>
          <w:szCs w:val="24"/>
        </w:rPr>
        <w:t> </w:t>
      </w:r>
      <w:r w:rsidRPr="008C1A22">
        <w:rPr>
          <w:rFonts w:ascii="Times New Roman" w:eastAsia="Times New Roman" w:hAnsi="Times New Roman"/>
          <w:bCs/>
          <w:sz w:val="24"/>
          <w:szCs w:val="24"/>
        </w:rPr>
        <w:t>stredným rizikom vzniku rezistencie</w:t>
      </w:r>
      <w:r w:rsidRPr="004167BD">
        <w:t xml:space="preserve"> </w:t>
      </w:r>
      <w:r>
        <w:t xml:space="preserve">a </w:t>
      </w:r>
      <w:r w:rsidRPr="004167BD">
        <w:rPr>
          <w:rFonts w:ascii="Times New Roman" w:eastAsia="Times New Roman" w:hAnsi="Times New Roman"/>
          <w:bCs/>
          <w:sz w:val="24"/>
          <w:szCs w:val="24"/>
        </w:rPr>
        <w:t xml:space="preserve">platia pre </w:t>
      </w:r>
      <w:r>
        <w:rPr>
          <w:rFonts w:ascii="Times New Roman" w:eastAsia="Times New Roman" w:hAnsi="Times New Roman"/>
          <w:bCs/>
          <w:sz w:val="24"/>
          <w:szCs w:val="24"/>
        </w:rPr>
        <w:t>ňu</w:t>
      </w:r>
      <w:r w:rsidRPr="004167BD">
        <w:rPr>
          <w:rFonts w:ascii="Times New Roman" w:eastAsia="Times New Roman" w:hAnsi="Times New Roman"/>
          <w:bCs/>
          <w:sz w:val="24"/>
          <w:szCs w:val="24"/>
        </w:rPr>
        <w:t xml:space="preserve"> smernice na zvládnutie rezistencie voči inhibítorom </w:t>
      </w:r>
      <w:proofErr w:type="spellStart"/>
      <w:r w:rsidRPr="004167BD">
        <w:rPr>
          <w:rFonts w:ascii="Times New Roman" w:eastAsia="Times New Roman" w:hAnsi="Times New Roman"/>
          <w:bCs/>
          <w:sz w:val="24"/>
          <w:szCs w:val="24"/>
        </w:rPr>
        <w:t>biosyntézy</w:t>
      </w:r>
      <w:proofErr w:type="spellEnd"/>
      <w:r w:rsidRPr="004167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167BD">
        <w:rPr>
          <w:rFonts w:ascii="Times New Roman" w:eastAsia="Times New Roman" w:hAnsi="Times New Roman"/>
          <w:bCs/>
          <w:sz w:val="24"/>
          <w:szCs w:val="24"/>
        </w:rPr>
        <w:t>sterolu</w:t>
      </w:r>
      <w:proofErr w:type="spellEnd"/>
      <w:r w:rsidRPr="004167B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Na zabránenie vzniku rezistencie neaplikujte </w:t>
      </w:r>
      <w:r>
        <w:rPr>
          <w:rFonts w:ascii="Times New Roman" w:eastAsia="Times New Roman" w:hAnsi="Times New Roman"/>
          <w:bCs/>
          <w:sz w:val="24"/>
          <w:szCs w:val="24"/>
        </w:rPr>
        <w:t>prípravky, ktoré obsahujú účinné látky</w:t>
      </w:r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 typu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carboxamidu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 alebo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benzamidu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 zo skupiny SDHI (napr.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bixafen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, boscalid,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carboxin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fluopyram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oxycarboxin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 účinnú látku  zo skupiny DMI </w:t>
      </w:r>
      <w:r w:rsidRPr="00C72F81">
        <w:rPr>
          <w:rFonts w:ascii="Times New Roman" w:eastAsia="Times New Roman" w:hAnsi="Times New Roman"/>
          <w:bCs/>
          <w:sz w:val="24"/>
          <w:szCs w:val="24"/>
        </w:rPr>
        <w:t>viac ako 2x za vegetačné obdobie.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Na zabránenie vzniku rezistencie neaplikujte tento prípravok alebo iný, ktorý obsahuje účinnú látku typu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carboxamidu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 nebo </w:t>
      </w:r>
      <w:proofErr w:type="spellStart"/>
      <w:r w:rsidRPr="00C72F81">
        <w:rPr>
          <w:rFonts w:ascii="Times New Roman" w:eastAsia="Times New Roman" w:hAnsi="Times New Roman"/>
          <w:bCs/>
          <w:sz w:val="24"/>
          <w:szCs w:val="24"/>
        </w:rPr>
        <w:t>benzamidu</w:t>
      </w:r>
      <w:proofErr w:type="spellEnd"/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 zo skupiny SDHI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 účinnú látku zo skupiny DMI </w:t>
      </w:r>
      <w:r w:rsidRPr="00C72F81">
        <w:rPr>
          <w:rFonts w:ascii="Times New Roman" w:eastAsia="Times New Roman" w:hAnsi="Times New Roman"/>
          <w:bCs/>
          <w:sz w:val="24"/>
          <w:szCs w:val="24"/>
        </w:rPr>
        <w:t xml:space="preserve">inak </w:t>
      </w:r>
      <w:r w:rsidRPr="00C72F81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ako preventívne alebo čo najskôr na začiatku výskytu choroby. </w:t>
      </w:r>
      <w:r w:rsidRPr="004167BD">
        <w:rPr>
          <w:rFonts w:ascii="Times New Roman" w:eastAsia="Times New Roman" w:hAnsi="Times New Roman"/>
          <w:bCs/>
          <w:sz w:val="24"/>
          <w:szCs w:val="24"/>
        </w:rPr>
        <w:t>Nepoužívajte prípravok v delených alebo v redukovaných dávkach. Opakované použitie rovnako pôsobiacich účinných látok môže podporovať vznik rezistencie.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BB7CC7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VPLYV NA ÚRODU</w:t>
      </w:r>
    </w:p>
    <w:p w:rsidR="004B39CF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C1A22">
        <w:rPr>
          <w:rFonts w:ascii="Times New Roman" w:eastAsia="Times New Roman" w:hAnsi="Times New Roman"/>
          <w:sz w:val="24"/>
          <w:szCs w:val="20"/>
        </w:rPr>
        <w:t>Ošetrenie prípravkom nemá negatívny vplyv na úrodu alebo kvalitatívne parametre rastlinných produktov.</w:t>
      </w:r>
    </w:p>
    <w:p w:rsidR="0025390B" w:rsidRPr="00C72F81" w:rsidRDefault="0025390B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224D85" w:rsidRDefault="00B61AF5" w:rsidP="00B97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72F81">
        <w:rPr>
          <w:rFonts w:ascii="Times New Roman" w:eastAsia="Times New Roman" w:hAnsi="Times New Roman"/>
          <w:b/>
          <w:sz w:val="24"/>
          <w:szCs w:val="24"/>
          <w:lang w:eastAsia="cs-CZ"/>
        </w:rPr>
        <w:t>VPLYV NA NÁSLEDNÉ, NÁHRADNÉ A SUSEDIACE PLODINY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C1A22">
        <w:rPr>
          <w:rFonts w:ascii="Times New Roman" w:eastAsia="Times New Roman" w:hAnsi="Times New Roman"/>
          <w:sz w:val="24"/>
          <w:szCs w:val="20"/>
        </w:rPr>
        <w:t xml:space="preserve">Pri dodržaní návodu na použitie nehrozí poškodenie plodín, ktoré budú na ošetrovanom pozemku pestované v rámci normálneho osevného postupu ani v prípade potreby zaorania plodiny. 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224D85">
        <w:rPr>
          <w:rFonts w:ascii="Times New Roman" w:eastAsia="Times New Roman" w:hAnsi="Times New Roman"/>
          <w:b/>
          <w:sz w:val="24"/>
          <w:szCs w:val="20"/>
        </w:rPr>
        <w:t>Aplikáciou nesmú byť zasiahnuté necieľové porasty a susediace rastliny!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B61AF5" w:rsidRPr="00473B0D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VPLYV NA UŽITOČNÉ A INÉ NECIEĽOVÉ ORGANIZMY</w:t>
      </w:r>
    </w:p>
    <w:p w:rsidR="00B61AF5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C1A22">
        <w:rPr>
          <w:rFonts w:ascii="Times New Roman" w:eastAsia="Times New Roman" w:hAnsi="Times New Roman"/>
          <w:sz w:val="24"/>
          <w:szCs w:val="20"/>
        </w:rPr>
        <w:t xml:space="preserve">Pri použití </w:t>
      </w:r>
      <w:r>
        <w:rPr>
          <w:rFonts w:ascii="Times New Roman" w:eastAsia="Times New Roman" w:hAnsi="Times New Roman"/>
          <w:sz w:val="24"/>
          <w:szCs w:val="20"/>
        </w:rPr>
        <w:t xml:space="preserve">prípravku </w:t>
      </w:r>
      <w:r w:rsidRPr="008C1A22">
        <w:rPr>
          <w:rFonts w:ascii="Times New Roman" w:eastAsia="Times New Roman" w:hAnsi="Times New Roman"/>
          <w:sz w:val="24"/>
          <w:szCs w:val="20"/>
        </w:rPr>
        <w:t>v súlade s autorizovaným rozsahom a spôsobom použitia (Zoznam autorizovaných prípravkov na ochranu rastlín a prípravkov na ochranu rastlín povolených na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8C1A22">
        <w:rPr>
          <w:rFonts w:ascii="Times New Roman" w:eastAsia="Times New Roman" w:hAnsi="Times New Roman"/>
          <w:sz w:val="24"/>
          <w:szCs w:val="20"/>
        </w:rPr>
        <w:t>paralelný obchod, Metodická príručka ochrany rastlín, obe pre príslušný rok), nie sú známe údaje o možnom negatívnom vplyve na užitočné a necieľové organizmy.</w:t>
      </w:r>
    </w:p>
    <w:p w:rsidR="00B8135D" w:rsidRPr="00C72F81" w:rsidRDefault="00B8135D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 xml:space="preserve">PRÍPRAVA POSTREKOVEJ KVAPALINY A ZNEŠKODNENIE OBALOV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Odmerané množstvo prípravku vlejte za stáleho miešania do nádrže postrekovača naplnenej do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polovice vodou a doplňte na požadovaný objem. Prázdny obal z tohto prípravku vypláchnite vodou a to buď ručne (3 krát po sebe) alebo v primiešavacom zariadení, ktoré je súčasťou postrekovača. </w:t>
      </w:r>
      <w:r w:rsidRPr="00C72F81" w:rsidDel="004C190B">
        <w:rPr>
          <w:rFonts w:ascii="Times New Roman" w:eastAsia="Times New Roman" w:hAnsi="Times New Roman"/>
          <w:sz w:val="24"/>
          <w:szCs w:val="20"/>
        </w:rPr>
        <w:t xml:space="preserve">Výplachovú </w:t>
      </w:r>
      <w:r w:rsidRPr="00C72F81">
        <w:rPr>
          <w:rFonts w:ascii="Times New Roman" w:eastAsia="Times New Roman" w:hAnsi="Times New Roman"/>
          <w:sz w:val="24"/>
          <w:szCs w:val="20"/>
        </w:rPr>
        <w:t>vodu</w:t>
      </w:r>
      <w:r w:rsidRPr="00C72F81" w:rsidDel="004C190B">
        <w:rPr>
          <w:rFonts w:ascii="Times New Roman" w:eastAsia="Times New Roman" w:hAnsi="Times New Roman"/>
          <w:sz w:val="24"/>
          <w:szCs w:val="20"/>
        </w:rPr>
        <w:t xml:space="preserve"> vlejte do nádrže postrekovača a obal odovzdajte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vášmu</w:t>
      </w:r>
      <w:r w:rsidRPr="00C72F81" w:rsidDel="004C190B">
        <w:rPr>
          <w:rFonts w:ascii="Times New Roman" w:eastAsia="Times New Roman" w:hAnsi="Times New Roman"/>
          <w:sz w:val="24"/>
          <w:szCs w:val="20"/>
        </w:rPr>
        <w:t xml:space="preserve"> zmluvnému subjektu, ktorý má oprávnenie na zber a zneškodňovanie prázdnych obalov. </w:t>
      </w:r>
      <w:r w:rsidRPr="00C72F81">
        <w:rPr>
          <w:rFonts w:ascii="Times New Roman" w:eastAsia="Times New Roman" w:hAnsi="Times New Roman"/>
          <w:sz w:val="24"/>
          <w:szCs w:val="20"/>
        </w:rPr>
        <w:t>Pri príprave zmesí je zakázané miešať koncentráty, prípravky vlievajte do nádrže oddelene. Postrekovú kvapalinu nepripravujte do zásoby! Pripravte len také množstvo postrekovej kvapaliny, ktoré spotrebujete.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0"/>
        </w:rPr>
        <w:t>Zákaz opätovného použitia obalu alebo jeho použitia na iné účely!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ČISTENIE APLIKAČNÉHO ZARIADENIA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Aplikačné zariadenie musí byť vyčistené čo najskôr po ukončení aplikácie, </w:t>
      </w:r>
      <w:r w:rsidRPr="00C72F81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C72F81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by nedošlo </w:t>
      </w:r>
      <w:r w:rsidR="00B8135D" w:rsidRPr="00C72F81">
        <w:rPr>
          <w:rFonts w:ascii="Times New Roman" w:eastAsia="Times New Roman" w:hAnsi="Times New Roman"/>
          <w:bCs/>
          <w:spacing w:val="-3"/>
          <w:sz w:val="24"/>
          <w:szCs w:val="24"/>
        </w:rPr>
        <w:t>k</w:t>
      </w:r>
      <w:r w:rsidR="00B8135D">
        <w:rPr>
          <w:rFonts w:ascii="Times New Roman" w:eastAsia="Times New Roman" w:hAnsi="Times New Roman"/>
          <w:bCs/>
          <w:spacing w:val="-3"/>
          <w:sz w:val="24"/>
          <w:szCs w:val="24"/>
        </w:rPr>
        <w:t> </w:t>
      </w:r>
      <w:r w:rsidRPr="00C72F81">
        <w:rPr>
          <w:rFonts w:ascii="Times New Roman" w:eastAsia="Times New Roman" w:hAnsi="Times New Roman"/>
          <w:bCs/>
          <w:spacing w:val="-3"/>
          <w:sz w:val="24"/>
          <w:szCs w:val="24"/>
        </w:rPr>
        <w:t>poškodeniu iných plodín zvyškami kvapaliny postrekovača</w:t>
      </w:r>
      <w:r w:rsidRPr="00C72F81">
        <w:rPr>
          <w:rFonts w:ascii="Times New Roman" w:eastAsia="Times New Roman" w:hAnsi="Times New Roman"/>
          <w:bCs/>
          <w:spacing w:val="-3"/>
        </w:rPr>
        <w:t>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Postup pri čistení. 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1. Vystriekajte aplikačnú kvapalinu na ošetrovanom pozemku.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2. Rozoberte nasávacie a výtlačné vedenie a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tryskové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 xml:space="preserve"> filtre dobre prepláchnite v čistej vode.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3. Naplňte aplikačné zariadenie do jednej štvrtiny obsahu nádrže alebo do ponorenia agitátora vodou a spustite miešanie (odporúča sa rotačná čistiaca </w:t>
      </w:r>
      <w:proofErr w:type="spellStart"/>
      <w:r w:rsidRPr="00C72F81">
        <w:rPr>
          <w:rFonts w:ascii="Times New Roman" w:eastAsia="Times New Roman" w:hAnsi="Times New Roman"/>
          <w:sz w:val="24"/>
          <w:szCs w:val="20"/>
        </w:rPr>
        <w:t>tryska</w:t>
      </w:r>
      <w:proofErr w:type="spellEnd"/>
      <w:r w:rsidRPr="00C72F81">
        <w:rPr>
          <w:rFonts w:ascii="Times New Roman" w:eastAsia="Times New Roman" w:hAnsi="Times New Roman"/>
          <w:sz w:val="24"/>
          <w:szCs w:val="20"/>
        </w:rPr>
        <w:t>). Premiešajte najmenej jednu minútu a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prepláchnite cez pumpu, pokiaľ má aplikačné zariadenie systém čistenia, použite ho.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4. Oplachovú vodu zachyťte a vystriekajte kvapalinu na ošetrovanom pozemku alebo ju zneškodnite ako nebezpečný odpad.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5. Opakujte krok </w:t>
      </w:r>
      <w:smartTag w:uri="urn:schemas-microsoft-com:office:smarttags" w:element="metricconverter">
        <w:smartTagPr>
          <w:attr w:name="ProductID" w:val="3 a"/>
        </w:smartTagPr>
        <w:r w:rsidRPr="00C72F81">
          <w:rPr>
            <w:rFonts w:ascii="Times New Roman" w:eastAsia="Times New Roman" w:hAnsi="Times New Roman"/>
            <w:sz w:val="24"/>
            <w:szCs w:val="20"/>
          </w:rPr>
          <w:t>3 a</w:t>
        </w:r>
      </w:smartTag>
      <w:r w:rsidRPr="00C72F81">
        <w:rPr>
          <w:rFonts w:ascii="Times New Roman" w:eastAsia="Times New Roman" w:hAnsi="Times New Roman"/>
          <w:sz w:val="24"/>
          <w:szCs w:val="20"/>
        </w:rPr>
        <w:t xml:space="preserve"> 4.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72F81">
        <w:rPr>
          <w:rFonts w:ascii="Times New Roman" w:eastAsia="Times New Roman" w:hAnsi="Times New Roman"/>
          <w:sz w:val="24"/>
          <w:szCs w:val="20"/>
        </w:rPr>
        <w:t>6. Skontrolujte filtre, či neobsahujú viditeľné usadeniny.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0"/>
        </w:rPr>
        <w:t>Bezpečnostné opatrenia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Pred použitím prípravku si dôkladne prečítajte návod na použitie! Pri práci s prípravkom používajte ochranný pracovný oblek, zásteru z pogumovaného textilu, ochranný štít na tvár, resp. ochranné okuliare, respirátor proti prašnosti, gumové rukavice odolné voči chemikáliám a gumovú obuv. Pri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práci a po nej až do vyzlečenia ochranného odevu a dôkladného umytia celého tela teplou vodou a mydlom nie je dovolené piť, jesť, ani fajčiť!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>Prípravok nie je horľavinou. S vodou tvorí emulziu. Pokiaľ sa prípravok dostane do ohniska požiaru, tento haste hasiacou penou, hasiacim práškom, prípadne pieskom alebo zeminou. Vodu použite len výnimočne, a to vo forme jemnej hmly v tých prípadoch, ak je zaručené, že kontaminovaná voda neprenikne do verejnej kanalizácie, nezasiahne zdroje spodných ani recipienty povrchových vôd a poľnohospodársku pôdu.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  <w:r w:rsidRPr="00C72F81">
        <w:rPr>
          <w:rFonts w:ascii="Times New Roman" w:eastAsia="Times New Roman" w:hAnsi="Times New Roman"/>
          <w:noProof/>
          <w:sz w:val="24"/>
          <w:szCs w:val="20"/>
        </w:rPr>
        <w:t>Postrek vykonávajte len za bezvetria alebo mierneho vánku a to v smere vetra od pracujúcich. Postrek nesmie zasiahnuť susedné kultúry.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0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0"/>
        </w:rPr>
        <w:t>Dôležité upozornenie</w:t>
      </w:r>
    </w:p>
    <w:p w:rsidR="006950E1" w:rsidRPr="0025390B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sz w:val="24"/>
          <w:szCs w:val="20"/>
        </w:rPr>
        <w:t xml:space="preserve">Pri zásahu proti požiaru použite izolačné dýchacie prístroje, nakoľko pri horení dochádza </w:t>
      </w:r>
      <w:r w:rsidR="00B8135D" w:rsidRPr="00C72F81">
        <w:rPr>
          <w:rFonts w:ascii="Times New Roman" w:eastAsia="Times New Roman" w:hAnsi="Times New Roman"/>
          <w:sz w:val="24"/>
          <w:szCs w:val="20"/>
        </w:rPr>
        <w:t>ku</w:t>
      </w:r>
      <w:r w:rsidR="00B8135D"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vzniku toxických splodín.</w:t>
      </w:r>
    </w:p>
    <w:p w:rsidR="006950E1" w:rsidRDefault="006950E1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0"/>
        </w:rPr>
        <w:t>Prvá pomoc: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B61AF5" w:rsidRPr="00C72F81" w:rsidTr="00C134D1">
        <w:tc>
          <w:tcPr>
            <w:tcW w:w="241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Po nadýchaní:</w:t>
            </w:r>
          </w:p>
        </w:tc>
        <w:tc>
          <w:tcPr>
            <w:tcW w:w="695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0"/>
              </w:rPr>
              <w:t>dopravte postihnutého na čistý vzduch, odstráňte zamorený odev a zabezpečte pokoj a teplo.</w:t>
            </w:r>
          </w:p>
        </w:tc>
      </w:tr>
      <w:tr w:rsidR="00B61AF5" w:rsidRPr="00C72F81" w:rsidTr="00C134D1">
        <w:tc>
          <w:tcPr>
            <w:tcW w:w="241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Po požití:</w:t>
            </w:r>
          </w:p>
        </w:tc>
        <w:tc>
          <w:tcPr>
            <w:tcW w:w="695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0"/>
              </w:rPr>
              <w:t>Vypláchnite ústa vodou. Zvracanie nevyvolávajte. Vyhľadajte lekárske ošetrenie.</w:t>
            </w:r>
          </w:p>
        </w:tc>
      </w:tr>
      <w:tr w:rsidR="00B61AF5" w:rsidRPr="00C72F81" w:rsidTr="00C134D1">
        <w:tc>
          <w:tcPr>
            <w:tcW w:w="241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Po zasiahnutí očí:</w:t>
            </w:r>
          </w:p>
        </w:tc>
        <w:tc>
          <w:tcPr>
            <w:tcW w:w="695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0"/>
              </w:rPr>
              <w:t>vyplachujte prúdom čistej vody po dobu asi 15 minút. Ak začervenanie očí pretrváva, urýchlene vyhľadajte odborné lekárske ošetrenie.</w:t>
            </w:r>
          </w:p>
        </w:tc>
      </w:tr>
      <w:tr w:rsidR="00B61AF5" w:rsidRPr="00C72F81" w:rsidTr="00C134D1">
        <w:tc>
          <w:tcPr>
            <w:tcW w:w="241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b/>
                <w:sz w:val="24"/>
                <w:szCs w:val="20"/>
              </w:rPr>
              <w:t>Po zasiahnutí pokožky:</w:t>
            </w:r>
          </w:p>
        </w:tc>
        <w:tc>
          <w:tcPr>
            <w:tcW w:w="695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72F81">
              <w:rPr>
                <w:rFonts w:ascii="Times New Roman" w:eastAsia="Times New Roman" w:hAnsi="Times New Roman"/>
                <w:sz w:val="24"/>
                <w:szCs w:val="20"/>
              </w:rPr>
              <w:t>odstráňte znečistený odev, zasiahnuté miesta umyte mydlom a teplou vodou.</w:t>
            </w:r>
          </w:p>
        </w:tc>
      </w:tr>
      <w:tr w:rsidR="00B61AF5" w:rsidRPr="00C72F81" w:rsidTr="00C134D1">
        <w:tc>
          <w:tcPr>
            <w:tcW w:w="241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6950" w:type="dxa"/>
          </w:tcPr>
          <w:p w:rsidR="00B61AF5" w:rsidRPr="00C72F81" w:rsidRDefault="00B61AF5" w:rsidP="00B97FB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Pri otrave, alebo podozrení na otravu</w:t>
      </w:r>
      <w:r w:rsidRPr="00C72F81">
        <w:rPr>
          <w:rFonts w:ascii="Times New Roman" w:eastAsia="Times New Roman" w:hAnsi="Times New Roman"/>
          <w:sz w:val="24"/>
          <w:szCs w:val="20"/>
        </w:rPr>
        <w:t xml:space="preserve"> privolajte ihneď lekára, ktorého informujte o prípravku, poskytnutej prvej pomoci a o tel. čísle Národného toxikologického informačného centra v Bratislave </w:t>
      </w:r>
      <w:r w:rsidR="0025390B">
        <w:rPr>
          <w:rFonts w:ascii="Times New Roman" w:eastAsia="Times New Roman" w:hAnsi="Times New Roman"/>
          <w:sz w:val="24"/>
          <w:szCs w:val="20"/>
        </w:rPr>
        <w:t>+421/</w:t>
      </w:r>
      <w:bookmarkStart w:id="0" w:name="_GoBack"/>
      <w:bookmarkEnd w:id="0"/>
      <w:r w:rsidR="0025390B">
        <w:rPr>
          <w:rFonts w:ascii="Times New Roman" w:eastAsia="Times New Roman" w:hAnsi="Times New Roman"/>
          <w:sz w:val="24"/>
          <w:szCs w:val="20"/>
        </w:rPr>
        <w:t>2/</w:t>
      </w:r>
      <w:r w:rsidRPr="00C72F81">
        <w:rPr>
          <w:rFonts w:ascii="Times New Roman" w:eastAsia="Times New Roman" w:hAnsi="Times New Roman"/>
          <w:sz w:val="24"/>
          <w:szCs w:val="20"/>
        </w:rPr>
        <w:t>54 77 41 66. Na tomto čísle v prípade potreby môže lekár liečbu konzultovať.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0"/>
        </w:rPr>
      </w:pPr>
      <w:r w:rsidRPr="00C72F81">
        <w:rPr>
          <w:rFonts w:ascii="Times New Roman" w:eastAsia="Times New Roman" w:hAnsi="Times New Roman"/>
          <w:b/>
          <w:caps/>
          <w:sz w:val="24"/>
          <w:szCs w:val="20"/>
        </w:rPr>
        <w:t>Skladovanie</w:t>
      </w:r>
    </w:p>
    <w:p w:rsidR="00B61AF5" w:rsidRPr="00BB7CC7" w:rsidRDefault="00B61AF5" w:rsidP="00C1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2F81">
        <w:rPr>
          <w:rFonts w:ascii="Times New Roman" w:eastAsia="Times New Roman" w:hAnsi="Times New Roman"/>
          <w:sz w:val="24"/>
          <w:szCs w:val="20"/>
        </w:rPr>
        <w:t>Prípravok skladujte v uzavretých originálnych obaloch v uzamknutých, suchých, hygienicky čistých, dobre vetrateľných skladoch pri teplotách od +5 do +30</w:t>
      </w:r>
      <w:r w:rsidRPr="00C72F81">
        <w:rPr>
          <w:rFonts w:ascii="Times New Roman" w:eastAsia="Times New Roman" w:hAnsi="Times New Roman"/>
          <w:sz w:val="24"/>
          <w:szCs w:val="20"/>
        </w:rPr>
        <w:sym w:font="Times New Roman" w:char="00B0"/>
      </w:r>
      <w:r w:rsidRPr="00C72F81">
        <w:rPr>
          <w:rFonts w:ascii="Times New Roman" w:eastAsia="Times New Roman" w:hAnsi="Times New Roman"/>
          <w:sz w:val="24"/>
          <w:szCs w:val="20"/>
        </w:rPr>
        <w:t>C oddelene od potravín, nápojov, krmív, hnojív, dezinfekčných prostriedkov, horľavín a obalov od týchto látok. Chráňte pred mrazom a</w:t>
      </w:r>
      <w:r>
        <w:rPr>
          <w:rFonts w:ascii="Times New Roman" w:eastAsia="Times New Roman" w:hAnsi="Times New Roman"/>
          <w:sz w:val="24"/>
          <w:szCs w:val="20"/>
        </w:rPr>
        <w:t> </w:t>
      </w:r>
      <w:r w:rsidRPr="00C72F81">
        <w:rPr>
          <w:rFonts w:ascii="Times New Roman" w:eastAsia="Times New Roman" w:hAnsi="Times New Roman"/>
          <w:sz w:val="24"/>
          <w:szCs w:val="20"/>
        </w:rPr>
        <w:t>priamym slnečným svetlom!</w:t>
      </w:r>
      <w:r w:rsidR="00B813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BB7CC7">
        <w:rPr>
          <w:rFonts w:ascii="Times New Roman" w:eastAsia="Times New Roman" w:hAnsi="Times New Roman"/>
          <w:sz w:val="24"/>
          <w:szCs w:val="24"/>
          <w:lang w:eastAsia="cs-CZ"/>
        </w:rPr>
        <w:t>Doba skladovateľnosti v originálnych neporušených obaloch je 2 roky od dátumu výroby.</w:t>
      </w: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72F81">
        <w:rPr>
          <w:rFonts w:ascii="Times New Roman" w:eastAsia="Times New Roman" w:hAnsi="Times New Roman"/>
          <w:b/>
          <w:sz w:val="24"/>
          <w:szCs w:val="20"/>
        </w:rPr>
        <w:t>ZNEŠKODNENIE ZVYŠKOV</w:t>
      </w:r>
    </w:p>
    <w:p w:rsidR="00B61AF5" w:rsidRPr="00C72F81" w:rsidRDefault="00B61AF5" w:rsidP="00B97FB8">
      <w:pPr>
        <w:spacing w:after="0" w:line="240" w:lineRule="auto"/>
        <w:jc w:val="both"/>
        <w:rPr>
          <w:rFonts w:ascii="CenturySchoolbook" w:eastAsia="Times New Roman" w:hAnsi="CenturySchoolbook"/>
          <w:sz w:val="24"/>
          <w:szCs w:val="20"/>
        </w:rPr>
      </w:pPr>
      <w:r w:rsidRPr="00C72F81">
        <w:rPr>
          <w:rFonts w:ascii="CenturySchoolbook" w:eastAsia="Times New Roman" w:hAnsi="CenturySchoolbook"/>
          <w:sz w:val="24"/>
          <w:szCs w:val="20"/>
        </w:rPr>
        <w:t>Nepoužité zvyšky prípravku v pôvodnom obale zneškodnite ako nebezpečný odpad.</w:t>
      </w:r>
    </w:p>
    <w:p w:rsidR="00B61AF5" w:rsidRPr="00C72F81" w:rsidRDefault="00B61AF5" w:rsidP="00B97FB8">
      <w:pPr>
        <w:spacing w:after="0" w:line="240" w:lineRule="auto"/>
        <w:jc w:val="both"/>
        <w:rPr>
          <w:rFonts w:ascii="CenturySchoolbook" w:eastAsia="Times New Roman" w:hAnsi="CenturySchoolbook"/>
          <w:sz w:val="24"/>
          <w:szCs w:val="20"/>
        </w:rPr>
      </w:pPr>
      <w:r w:rsidRPr="00C72F81">
        <w:rPr>
          <w:rFonts w:ascii="CenturySchoolbook" w:eastAsia="Times New Roman" w:hAnsi="CenturySchoolbook"/>
          <w:sz w:val="24"/>
          <w:szCs w:val="20"/>
        </w:rPr>
        <w:t>Technologický zvyšok postrekovej kvapaliny po zriedení vystriekajte na neošetrenej ploche, nesmú však zasiahnuť zdroje podzemných ani recipienty povrchových vôd alebo zneškodnite ako nebezpečný odpad. Nepoužité zvyšky postrekovej kvapaliny v objeme väčšom ako technologický zvyšok (uvedené v technických parametroch mechanizačného prostriedku) zneškodnite ako nebezpečný odpad v súlade s platnou legislatívou</w:t>
      </w:r>
      <w:r>
        <w:rPr>
          <w:rFonts w:ascii="CenturySchoolbook" w:eastAsia="Times New Roman" w:hAnsi="CenturySchoolbook"/>
          <w:sz w:val="24"/>
          <w:szCs w:val="20"/>
        </w:rPr>
        <w:t xml:space="preserve"> o odpadoch</w:t>
      </w:r>
      <w:r w:rsidRPr="00C72F81">
        <w:rPr>
          <w:rFonts w:ascii="CenturySchoolbook" w:eastAsia="Times New Roman" w:hAnsi="CenturySchoolbook"/>
          <w:sz w:val="24"/>
          <w:szCs w:val="20"/>
        </w:rPr>
        <w:t>.</w:t>
      </w:r>
    </w:p>
    <w:p w:rsidR="00B61AF5" w:rsidRPr="00C72F81" w:rsidRDefault="00B61AF5" w:rsidP="00B97FB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1AF5" w:rsidRPr="00C72F81" w:rsidRDefault="00B61AF5" w:rsidP="00B97FB8">
      <w:pPr>
        <w:rPr>
          <w:rFonts w:ascii="Times New Roman" w:hAnsi="Times New Roman"/>
        </w:rPr>
      </w:pPr>
    </w:p>
    <w:p w:rsidR="006950E1" w:rsidRDefault="006950E1" w:rsidP="00B97FB8"/>
    <w:p w:rsidR="006950E1" w:rsidRPr="006950E1" w:rsidRDefault="006950E1" w:rsidP="006950E1"/>
    <w:p w:rsidR="006950E1" w:rsidRPr="006950E1" w:rsidRDefault="006950E1" w:rsidP="006950E1"/>
    <w:p w:rsidR="006950E1" w:rsidRPr="006950E1" w:rsidRDefault="006950E1" w:rsidP="006950E1"/>
    <w:p w:rsidR="006950E1" w:rsidRDefault="006950E1" w:rsidP="006950E1"/>
    <w:p w:rsidR="00B61AF5" w:rsidRPr="006950E1" w:rsidRDefault="006950E1" w:rsidP="006950E1">
      <w:pPr>
        <w:tabs>
          <w:tab w:val="left" w:pos="5265"/>
        </w:tabs>
      </w:pPr>
      <w:r>
        <w:tab/>
      </w:r>
    </w:p>
    <w:sectPr w:rsidR="00B61AF5" w:rsidRPr="006950E1" w:rsidSect="006950E1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44" w:rsidRDefault="00EB5E44" w:rsidP="006767AB">
      <w:pPr>
        <w:spacing w:after="0" w:line="240" w:lineRule="auto"/>
      </w:pPr>
      <w:r>
        <w:separator/>
      </w:r>
    </w:p>
  </w:endnote>
  <w:endnote w:type="continuationSeparator" w:id="0">
    <w:p w:rsidR="00EB5E44" w:rsidRDefault="00EB5E44" w:rsidP="0067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AB" w:rsidRPr="00C134D1" w:rsidRDefault="006767AB">
    <w:pPr>
      <w:pStyle w:val="Pta"/>
      <w:rPr>
        <w:rFonts w:ascii="Times New Roman" w:hAnsi="Times New Roman"/>
        <w:sz w:val="20"/>
      </w:rPr>
    </w:pPr>
    <w:r w:rsidRPr="006950E1">
      <w:rPr>
        <w:rFonts w:ascii="Times New Roman" w:hAnsi="Times New Roman"/>
        <w:sz w:val="20"/>
      </w:rPr>
      <w:t>ICZ/</w:t>
    </w:r>
    <w:r w:rsidR="004B39CF" w:rsidRPr="006950E1">
      <w:rPr>
        <w:rFonts w:ascii="Times New Roman" w:hAnsi="Times New Roman"/>
        <w:sz w:val="20"/>
      </w:rPr>
      <w:t>2020/09315/ku</w:t>
    </w:r>
    <w:r w:rsidRPr="00C134D1">
      <w:rPr>
        <w:rFonts w:ascii="Times New Roman" w:hAnsi="Times New Roman"/>
        <w:sz w:val="20"/>
      </w:rPr>
      <w:tab/>
    </w:r>
    <w:r w:rsidRPr="00C134D1">
      <w:rPr>
        <w:rFonts w:ascii="Times New Roman" w:hAnsi="Times New Roman"/>
        <w:sz w:val="20"/>
      </w:rPr>
      <w:tab/>
    </w:r>
    <w:r w:rsidRPr="006950E1">
      <w:rPr>
        <w:rFonts w:ascii="Times New Roman" w:hAnsi="Times New Roman"/>
        <w:bCs/>
        <w:sz w:val="20"/>
      </w:rPr>
      <w:fldChar w:fldCharType="begin"/>
    </w:r>
    <w:r w:rsidRPr="006950E1">
      <w:rPr>
        <w:rFonts w:ascii="Times New Roman" w:hAnsi="Times New Roman"/>
        <w:bCs/>
        <w:sz w:val="20"/>
      </w:rPr>
      <w:instrText>PAGE  \* Arabic  \* MERGEFORMAT</w:instrText>
    </w:r>
    <w:r w:rsidRPr="006950E1">
      <w:rPr>
        <w:rFonts w:ascii="Times New Roman" w:hAnsi="Times New Roman"/>
        <w:bCs/>
        <w:sz w:val="20"/>
      </w:rPr>
      <w:fldChar w:fldCharType="separate"/>
    </w:r>
    <w:r w:rsidR="0025390B">
      <w:rPr>
        <w:rFonts w:ascii="Times New Roman" w:hAnsi="Times New Roman"/>
        <w:bCs/>
        <w:noProof/>
        <w:sz w:val="20"/>
      </w:rPr>
      <w:t>6</w:t>
    </w:r>
    <w:r w:rsidRPr="006950E1">
      <w:rPr>
        <w:rFonts w:ascii="Times New Roman" w:hAnsi="Times New Roman"/>
        <w:bCs/>
        <w:sz w:val="20"/>
      </w:rPr>
      <w:fldChar w:fldCharType="end"/>
    </w:r>
    <w:r w:rsidRPr="006950E1">
      <w:rPr>
        <w:rFonts w:ascii="Times New Roman" w:hAnsi="Times New Roman"/>
        <w:sz w:val="20"/>
      </w:rPr>
      <w:t xml:space="preserve"> </w:t>
    </w:r>
    <w:r w:rsidR="00B8135D" w:rsidRPr="00B8135D">
      <w:rPr>
        <w:rFonts w:ascii="Times New Roman" w:hAnsi="Times New Roman"/>
        <w:sz w:val="20"/>
      </w:rPr>
      <w:t>/</w:t>
    </w:r>
    <w:r w:rsidR="00B8135D" w:rsidRPr="006950E1">
      <w:rPr>
        <w:rFonts w:ascii="Times New Roman" w:hAnsi="Times New Roman"/>
        <w:sz w:val="20"/>
      </w:rPr>
      <w:t xml:space="preserve"> </w:t>
    </w:r>
    <w:r w:rsidRPr="006950E1">
      <w:rPr>
        <w:rFonts w:ascii="Times New Roman" w:hAnsi="Times New Roman"/>
        <w:bCs/>
        <w:sz w:val="20"/>
      </w:rPr>
      <w:fldChar w:fldCharType="begin"/>
    </w:r>
    <w:r w:rsidRPr="006950E1">
      <w:rPr>
        <w:rFonts w:ascii="Times New Roman" w:hAnsi="Times New Roman"/>
        <w:bCs/>
        <w:sz w:val="20"/>
      </w:rPr>
      <w:instrText>NUMPAGES  \* Arabic  \* MERGEFORMAT</w:instrText>
    </w:r>
    <w:r w:rsidRPr="006950E1">
      <w:rPr>
        <w:rFonts w:ascii="Times New Roman" w:hAnsi="Times New Roman"/>
        <w:bCs/>
        <w:sz w:val="20"/>
      </w:rPr>
      <w:fldChar w:fldCharType="separate"/>
    </w:r>
    <w:r w:rsidR="0025390B">
      <w:rPr>
        <w:rFonts w:ascii="Times New Roman" w:hAnsi="Times New Roman"/>
        <w:bCs/>
        <w:noProof/>
        <w:sz w:val="20"/>
      </w:rPr>
      <w:t>6</w:t>
    </w:r>
    <w:r w:rsidRPr="006950E1">
      <w:rPr>
        <w:rFonts w:ascii="Times New Roman" w:hAnsi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44" w:rsidRDefault="00EB5E44" w:rsidP="006767AB">
      <w:pPr>
        <w:spacing w:after="0" w:line="240" w:lineRule="auto"/>
      </w:pPr>
      <w:r>
        <w:separator/>
      </w:r>
    </w:p>
  </w:footnote>
  <w:footnote w:type="continuationSeparator" w:id="0">
    <w:p w:rsidR="00EB5E44" w:rsidRDefault="00EB5E44" w:rsidP="0067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AB" w:rsidRPr="00C134D1" w:rsidRDefault="006767AB" w:rsidP="006767AB">
    <w:pPr>
      <w:tabs>
        <w:tab w:val="center" w:pos="4819"/>
        <w:tab w:val="right" w:pos="9071"/>
      </w:tabs>
      <w:spacing w:after="0" w:line="240" w:lineRule="auto"/>
      <w:rPr>
        <w:rFonts w:ascii="CenturySchoolbook" w:eastAsia="Times New Roman" w:hAnsi="CenturySchoolbook"/>
        <w:sz w:val="20"/>
        <w:szCs w:val="20"/>
      </w:rPr>
    </w:pPr>
    <w:r w:rsidRPr="00C134D1">
      <w:rPr>
        <w:rFonts w:ascii="CenturySchoolbook" w:eastAsia="Times New Roman" w:hAnsi="CenturySchoolbook"/>
        <w:sz w:val="20"/>
        <w:szCs w:val="20"/>
      </w:rPr>
      <w:tab/>
    </w:r>
    <w:r w:rsidRPr="00C134D1">
      <w:rPr>
        <w:rFonts w:ascii="CenturySchoolbook" w:eastAsia="Times New Roman" w:hAnsi="CenturySchoolbook"/>
        <w:sz w:val="20"/>
        <w:szCs w:val="20"/>
      </w:rPr>
      <w:tab/>
      <w:t>Etiketa schv</w:t>
    </w:r>
    <w:r w:rsidRPr="00C134D1">
      <w:rPr>
        <w:rFonts w:ascii="CenturySchoolbook" w:eastAsia="Times New Roman" w:hAnsi="CenturySchoolbook" w:hint="eastAsia"/>
        <w:sz w:val="20"/>
        <w:szCs w:val="20"/>
      </w:rPr>
      <w:t>á</w:t>
    </w:r>
    <w:r w:rsidRPr="00C134D1">
      <w:rPr>
        <w:rFonts w:ascii="CenturySchoolbook" w:eastAsia="Times New Roman" w:hAnsi="CenturySchoolbook"/>
        <w:sz w:val="20"/>
        <w:szCs w:val="20"/>
      </w:rPr>
      <w:t>len</w:t>
    </w:r>
    <w:r w:rsidRPr="00C134D1">
      <w:rPr>
        <w:rFonts w:ascii="CenturySchoolbook" w:eastAsia="Times New Roman" w:hAnsi="CenturySchoolbook" w:hint="eastAsia"/>
        <w:sz w:val="20"/>
        <w:szCs w:val="20"/>
      </w:rPr>
      <w:t>á</w:t>
    </w:r>
    <w:r w:rsidRPr="00C134D1">
      <w:rPr>
        <w:rFonts w:ascii="CenturySchoolbook" w:eastAsia="Times New Roman" w:hAnsi="CenturySchoolbook"/>
        <w:sz w:val="20"/>
        <w:szCs w:val="20"/>
      </w:rPr>
      <w:t xml:space="preserve">: </w:t>
    </w:r>
    <w:r w:rsidR="00C134D1">
      <w:rPr>
        <w:rFonts w:ascii="CenturySchoolbook" w:eastAsia="Times New Roman" w:hAnsi="CenturySchoolbook"/>
        <w:sz w:val="20"/>
        <w:szCs w:val="20"/>
      </w:rPr>
      <w:t>14</w:t>
    </w:r>
    <w:r w:rsidR="006950E1">
      <w:rPr>
        <w:rFonts w:ascii="CenturySchoolbook" w:eastAsia="Times New Roman" w:hAnsi="CenturySchoolbook"/>
        <w:sz w:val="20"/>
        <w:szCs w:val="20"/>
      </w:rPr>
      <w:t>.07</w:t>
    </w:r>
    <w:r w:rsidR="00510982" w:rsidRPr="00C134D1">
      <w:rPr>
        <w:rFonts w:ascii="CenturySchoolbook" w:eastAsia="Times New Roman" w:hAnsi="CenturySchoolbook"/>
        <w:sz w:val="20"/>
        <w:szCs w:val="20"/>
      </w:rPr>
      <w:t>.</w:t>
    </w:r>
    <w:r w:rsidR="00545151" w:rsidRPr="00C134D1">
      <w:rPr>
        <w:rFonts w:ascii="CenturySchoolbook" w:eastAsia="Times New Roman" w:hAnsi="CenturySchoolbook"/>
        <w:sz w:val="20"/>
        <w:szCs w:val="20"/>
      </w:rPr>
      <w:t>2020</w:t>
    </w:r>
  </w:p>
  <w:p w:rsidR="006767AB" w:rsidRDefault="006767A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B"/>
    <w:rsid w:val="00197AE2"/>
    <w:rsid w:val="001A2A21"/>
    <w:rsid w:val="00210D07"/>
    <w:rsid w:val="0025390B"/>
    <w:rsid w:val="00344661"/>
    <w:rsid w:val="00426424"/>
    <w:rsid w:val="004B39CF"/>
    <w:rsid w:val="00510982"/>
    <w:rsid w:val="00545151"/>
    <w:rsid w:val="005650B4"/>
    <w:rsid w:val="00653818"/>
    <w:rsid w:val="006767AB"/>
    <w:rsid w:val="006950E1"/>
    <w:rsid w:val="00793626"/>
    <w:rsid w:val="00965611"/>
    <w:rsid w:val="00991574"/>
    <w:rsid w:val="00A207EC"/>
    <w:rsid w:val="00B61AF5"/>
    <w:rsid w:val="00B8135D"/>
    <w:rsid w:val="00C116F6"/>
    <w:rsid w:val="00C134D1"/>
    <w:rsid w:val="00D130AF"/>
    <w:rsid w:val="00E531CB"/>
    <w:rsid w:val="00E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7B64967"/>
  <w15:chartTrackingRefBased/>
  <w15:docId w15:val="{BBAD563A-5D2B-459B-9B22-BB7A6D31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67A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76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67A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1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Srponova</dc:creator>
  <cp:keywords/>
  <cp:lastModifiedBy>Nikoleta Krumpolcova</cp:lastModifiedBy>
  <cp:revision>10</cp:revision>
  <dcterms:created xsi:type="dcterms:W3CDTF">2017-12-15T15:37:00Z</dcterms:created>
  <dcterms:modified xsi:type="dcterms:W3CDTF">2020-07-14T09:38:00Z</dcterms:modified>
</cp:coreProperties>
</file>