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B4" w:rsidRPr="00DB71D4" w:rsidRDefault="00DA28B4" w:rsidP="00DA28B4">
      <w:pPr>
        <w:jc w:val="center"/>
        <w:rPr>
          <w:lang w:eastAsia="en-US"/>
        </w:rPr>
      </w:pPr>
      <w:r w:rsidRPr="00DB71D4">
        <w:rPr>
          <w:lang w:eastAsia="en-US"/>
        </w:rPr>
        <w:t>Prípravok na ochranu rastlín</w:t>
      </w:r>
      <w:r w:rsidR="00BA6298">
        <w:rPr>
          <w:lang w:eastAsia="en-US"/>
        </w:rPr>
        <w:t xml:space="preserve"> pre profesionálnych </w:t>
      </w:r>
      <w:r w:rsidR="00E8668A">
        <w:rPr>
          <w:lang w:eastAsia="en-US"/>
        </w:rPr>
        <w:t>používateľov</w:t>
      </w:r>
    </w:p>
    <w:p w:rsidR="00DA28B4" w:rsidRPr="00DB71D4" w:rsidRDefault="00DA28B4" w:rsidP="00DA28B4">
      <w:pPr>
        <w:jc w:val="center"/>
        <w:rPr>
          <w:lang w:eastAsia="en-US"/>
        </w:rPr>
      </w:pPr>
    </w:p>
    <w:p w:rsidR="00DA28B4" w:rsidRPr="00DB71D4" w:rsidRDefault="00DA28B4" w:rsidP="00DA28B4">
      <w:pPr>
        <w:jc w:val="center"/>
        <w:rPr>
          <w:sz w:val="48"/>
          <w:szCs w:val="48"/>
          <w:lang w:eastAsia="en-US"/>
        </w:rPr>
      </w:pPr>
      <w:r w:rsidRPr="00DB71D4">
        <w:rPr>
          <w:b/>
          <w:iCs/>
          <w:sz w:val="48"/>
          <w:szCs w:val="48"/>
          <w:lang w:eastAsia="en-US"/>
        </w:rPr>
        <w:t>MAGNELLO</w:t>
      </w:r>
      <w:r w:rsidRPr="00DB71D4">
        <w:rPr>
          <w:b/>
          <w:sz w:val="48"/>
          <w:szCs w:val="48"/>
          <w:vertAlign w:val="superscript"/>
          <w:lang w:eastAsia="en-US"/>
        </w:rPr>
        <w:t xml:space="preserve"> ®</w:t>
      </w:r>
      <w:r w:rsidRPr="00DB71D4">
        <w:rPr>
          <w:b/>
          <w:sz w:val="48"/>
          <w:szCs w:val="48"/>
          <w:lang w:eastAsia="en-US"/>
        </w:rPr>
        <w:t xml:space="preserve"> 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 xml:space="preserve">Fungicídny prípravok s morforegulačným účinkom vo forme emulgovateľného koncentrátu určený </w:t>
      </w:r>
      <w:r>
        <w:rPr>
          <w:lang w:eastAsia="en-US"/>
        </w:rPr>
        <w:t xml:space="preserve">na </w:t>
      </w:r>
      <w:r w:rsidRPr="00DB71D4">
        <w:rPr>
          <w:lang w:eastAsia="en-US"/>
        </w:rPr>
        <w:t xml:space="preserve"> ochran</w:t>
      </w:r>
      <w:r>
        <w:rPr>
          <w:lang w:eastAsia="en-US"/>
        </w:rPr>
        <w:t>u</w:t>
      </w:r>
      <w:r w:rsidRPr="00DB71D4">
        <w:rPr>
          <w:lang w:eastAsia="en-US"/>
        </w:rPr>
        <w:t xml:space="preserve"> repky </w:t>
      </w:r>
      <w:r>
        <w:rPr>
          <w:lang w:eastAsia="en-US"/>
        </w:rPr>
        <w:t xml:space="preserve">ozimnej, repky jarnej </w:t>
      </w:r>
      <w:r w:rsidRPr="00DB71D4">
        <w:rPr>
          <w:lang w:eastAsia="en-US"/>
        </w:rPr>
        <w:t xml:space="preserve">proti </w:t>
      </w:r>
      <w:r>
        <w:rPr>
          <w:lang w:eastAsia="en-US"/>
        </w:rPr>
        <w:t>fómovej hnilobe a na ochranu pšenice ozimnej, pšenice jarnej, pšenice tvrdej ozimnej, pšenice tvrdej jarnej, raže ozimnej, raže jarnej a tritikale proti hubovým chorobám.  V repke ozimnej a v repke jarnej j</w:t>
      </w:r>
      <w:r w:rsidRPr="00DB71D4">
        <w:rPr>
          <w:lang w:eastAsia="en-US"/>
        </w:rPr>
        <w:t xml:space="preserve">e </w:t>
      </w:r>
      <w:r>
        <w:rPr>
          <w:lang w:eastAsia="en-US"/>
        </w:rPr>
        <w:t xml:space="preserve">tiež </w:t>
      </w:r>
      <w:r w:rsidRPr="00DB71D4">
        <w:rPr>
          <w:lang w:eastAsia="en-US"/>
        </w:rPr>
        <w:t xml:space="preserve">určený </w:t>
      </w:r>
      <w:r>
        <w:rPr>
          <w:lang w:eastAsia="en-US"/>
        </w:rPr>
        <w:t xml:space="preserve"> na </w:t>
      </w:r>
      <w:r w:rsidRPr="00DB71D4">
        <w:rPr>
          <w:lang w:eastAsia="en-US"/>
        </w:rPr>
        <w:t>reguláci</w:t>
      </w:r>
      <w:r>
        <w:rPr>
          <w:lang w:eastAsia="en-US"/>
        </w:rPr>
        <w:t>u</w:t>
      </w:r>
      <w:r w:rsidRPr="00DB71D4">
        <w:rPr>
          <w:lang w:eastAsia="en-US"/>
        </w:rPr>
        <w:t xml:space="preserve"> rastu</w:t>
      </w:r>
      <w:r>
        <w:rPr>
          <w:lang w:eastAsia="en-US"/>
        </w:rPr>
        <w:t xml:space="preserve"> a to na: podporu prezimovania, skrátenie výšky rastlín a obmedzenie poliehania</w:t>
      </w:r>
      <w:r w:rsidRPr="00DB71D4">
        <w:rPr>
          <w:lang w:eastAsia="en-US"/>
        </w:rPr>
        <w:t>.</w:t>
      </w:r>
      <w:r>
        <w:rPr>
          <w:lang w:eastAsia="en-US"/>
        </w:rPr>
        <w:t xml:space="preserve"> 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b/>
          <w:bCs/>
          <w:lang w:eastAsia="en-US"/>
        </w:rPr>
      </w:pPr>
      <w:r w:rsidRPr="00DB71D4">
        <w:rPr>
          <w:b/>
          <w:bCs/>
          <w:lang w:eastAsia="en-US"/>
        </w:rPr>
        <w:t>100 g/l difenoconazole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tj. 3-chlor-4-[(</w:t>
      </w:r>
      <w:r w:rsidRPr="00DB71D4">
        <w:rPr>
          <w:i/>
          <w:lang w:eastAsia="en-US"/>
        </w:rPr>
        <w:t>2RS,4RS;2RS,4SR</w:t>
      </w:r>
      <w:r w:rsidRPr="00DB71D4">
        <w:rPr>
          <w:lang w:eastAsia="en-US"/>
        </w:rPr>
        <w:t>)-4-methyl-2-(1</w:t>
      </w:r>
      <w:r w:rsidRPr="00DB71D4">
        <w:rPr>
          <w:i/>
          <w:lang w:eastAsia="en-US"/>
        </w:rPr>
        <w:t>H</w:t>
      </w:r>
      <w:r w:rsidRPr="00DB71D4">
        <w:rPr>
          <w:lang w:eastAsia="en-US"/>
        </w:rPr>
        <w:t>-1,2,4-triazol-1-ylmethyl)-1,3-dioxolan-2-yl]fenyl 4-chlorofenyl ether</w:t>
      </w:r>
    </w:p>
    <w:p w:rsidR="00DA28B4" w:rsidRPr="00DB71D4" w:rsidRDefault="00DA28B4" w:rsidP="00DA28B4">
      <w:pPr>
        <w:jc w:val="both"/>
        <w:rPr>
          <w:b/>
          <w:bCs/>
          <w:lang w:eastAsia="en-US"/>
        </w:rPr>
      </w:pPr>
      <w:r w:rsidRPr="00DB71D4">
        <w:rPr>
          <w:b/>
          <w:bCs/>
          <w:lang w:eastAsia="en-US"/>
        </w:rPr>
        <w:t xml:space="preserve">250 </w:t>
      </w:r>
      <w:r w:rsidRPr="00DB71D4">
        <w:rPr>
          <w:b/>
          <w:bCs/>
          <w:i/>
          <w:lang w:eastAsia="en-US"/>
        </w:rPr>
        <w:t>g/l</w:t>
      </w:r>
      <w:r w:rsidRPr="00DB71D4">
        <w:rPr>
          <w:b/>
          <w:bCs/>
          <w:lang w:eastAsia="en-US"/>
        </w:rPr>
        <w:t xml:space="preserve"> tebuconazole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tj. (</w:t>
      </w:r>
      <w:r w:rsidRPr="00DB71D4">
        <w:rPr>
          <w:i/>
          <w:lang w:eastAsia="en-US"/>
        </w:rPr>
        <w:t>RS)-</w:t>
      </w:r>
      <w:r w:rsidRPr="00DB71D4">
        <w:rPr>
          <w:lang w:eastAsia="en-US"/>
        </w:rPr>
        <w:t>1-</w:t>
      </w:r>
      <w:r w:rsidRPr="00DB71D4">
        <w:rPr>
          <w:i/>
          <w:lang w:eastAsia="en-US"/>
        </w:rPr>
        <w:t>p</w:t>
      </w:r>
      <w:r w:rsidRPr="00DB71D4">
        <w:rPr>
          <w:lang w:eastAsia="en-US"/>
        </w:rPr>
        <w:t>-chlorophenyl-4,4-dimethyl-3-(1</w:t>
      </w:r>
      <w:r w:rsidRPr="00DB71D4">
        <w:rPr>
          <w:i/>
          <w:lang w:eastAsia="en-US"/>
        </w:rPr>
        <w:t>H</w:t>
      </w:r>
      <w:r w:rsidRPr="00DB71D4">
        <w:rPr>
          <w:lang w:eastAsia="en-US"/>
        </w:rPr>
        <w:t>-1,2,4-triazol-1-ylmethyl)pentan-3-ol</w:t>
      </w:r>
    </w:p>
    <w:p w:rsidR="00DA28B4" w:rsidRPr="00DB71D4" w:rsidRDefault="00DA28B4" w:rsidP="00DA28B4">
      <w:pPr>
        <w:jc w:val="both"/>
        <w:rPr>
          <w:b/>
          <w:u w:val="single"/>
          <w:lang w:eastAsia="en-US"/>
        </w:rPr>
      </w:pPr>
    </w:p>
    <w:p w:rsidR="00DA28B4" w:rsidRPr="00644118" w:rsidRDefault="00DA28B4" w:rsidP="00DA28B4">
      <w:pPr>
        <w:spacing w:before="120" w:after="120"/>
        <w:jc w:val="both"/>
        <w:rPr>
          <w:lang w:eastAsia="en-US"/>
        </w:rPr>
      </w:pPr>
      <w:r w:rsidRPr="00DB71D4">
        <w:rPr>
          <w:b/>
          <w:lang w:eastAsia="en-US"/>
        </w:rPr>
        <w:t>Názov látok v prípravku ktoré sú klasifikované, alebo na základe ktorých bol prípravok klasifikovaný do kategórií nebezpečenstva:</w:t>
      </w:r>
      <w:r w:rsidRPr="00DB71D4">
        <w:rPr>
          <w:lang w:eastAsia="en-US"/>
        </w:rPr>
        <w:t xml:space="preserve">  </w:t>
      </w:r>
      <w:r w:rsidRPr="00644118">
        <w:rPr>
          <w:b/>
          <w:lang w:eastAsia="en-US"/>
        </w:rPr>
        <w:t>:</w:t>
      </w:r>
      <w:r w:rsidRPr="00644118">
        <w:rPr>
          <w:lang w:eastAsia="en-US"/>
        </w:rPr>
        <w:t xml:space="preserve">  difenoconazole CAS No.: 119446-68-3, tebuconazole CAS No.: 107534-96-3</w:t>
      </w:r>
      <w:r w:rsidRPr="00644118">
        <w:rPr>
          <w:b/>
          <w:lang w:eastAsia="en-US"/>
        </w:rPr>
        <w:t>,</w:t>
      </w:r>
    </w:p>
    <w:p w:rsidR="00DA28B4" w:rsidRPr="00644118" w:rsidRDefault="00DA28B4" w:rsidP="00104678">
      <w:pPr>
        <w:spacing w:before="120" w:after="120"/>
        <w:jc w:val="both"/>
        <w:rPr>
          <w:b/>
          <w:u w:val="single"/>
          <w:lang w:eastAsia="en-US"/>
        </w:rPr>
      </w:pPr>
    </w:p>
    <w:p w:rsidR="00DA28B4" w:rsidRPr="00644118" w:rsidRDefault="00DA28B4" w:rsidP="00DA28B4">
      <w:pPr>
        <w:spacing w:before="120" w:after="120"/>
        <w:jc w:val="both"/>
        <w:rPr>
          <w:b/>
          <w:lang w:eastAsia="en-US"/>
        </w:rPr>
      </w:pPr>
      <w:r w:rsidRPr="00644118">
        <w:rPr>
          <w:b/>
          <w:lang w:eastAsia="en-US"/>
        </w:rPr>
        <w:t>Označenie prípravku:</w:t>
      </w:r>
    </w:p>
    <w:tbl>
      <w:tblPr>
        <w:tblW w:w="4068" w:type="dxa"/>
        <w:tblInd w:w="-34" w:type="dxa"/>
        <w:tblLook w:val="00A0" w:firstRow="1" w:lastRow="0" w:firstColumn="1" w:lastColumn="0" w:noHBand="0" w:noVBand="0"/>
      </w:tblPr>
      <w:tblGrid>
        <w:gridCol w:w="1356"/>
        <w:gridCol w:w="1356"/>
        <w:gridCol w:w="1356"/>
      </w:tblGrid>
      <w:tr w:rsidR="004A02C6" w:rsidRPr="00644118" w:rsidTr="004A02C6">
        <w:trPr>
          <w:trHeight w:val="1253"/>
        </w:trPr>
        <w:tc>
          <w:tcPr>
            <w:tcW w:w="1356" w:type="dxa"/>
          </w:tcPr>
          <w:p w:rsidR="004A02C6" w:rsidRPr="00644118" w:rsidRDefault="004A02C6" w:rsidP="00104678">
            <w:pPr>
              <w:jc w:val="both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4E6E08" wp14:editId="6CDFFB07">
                  <wp:extent cx="685800" cy="685800"/>
                  <wp:effectExtent l="0" t="0" r="0" b="0"/>
                  <wp:docPr id="3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4A02C6" w:rsidRPr="00644118" w:rsidRDefault="004A02C6" w:rsidP="00465FD9">
            <w:pPr>
              <w:jc w:val="both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7AE2F61" wp14:editId="205C9566">
                  <wp:extent cx="685800" cy="685800"/>
                  <wp:effectExtent l="0" t="0" r="0" b="0"/>
                  <wp:docPr id="2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4A02C6" w:rsidRDefault="004A02C6" w:rsidP="00465FD9">
            <w:pPr>
              <w:jc w:val="both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ADC38E2" wp14:editId="0D7EECE1">
                  <wp:extent cx="685800" cy="685800"/>
                  <wp:effectExtent l="0" t="0" r="0" b="0"/>
                  <wp:docPr id="4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2C6" w:rsidRPr="00644118" w:rsidTr="004A02C6">
        <w:tc>
          <w:tcPr>
            <w:tcW w:w="1356" w:type="dxa"/>
          </w:tcPr>
          <w:p w:rsidR="004A02C6" w:rsidRPr="00644118" w:rsidRDefault="004A02C6" w:rsidP="00104678">
            <w:pPr>
              <w:jc w:val="both"/>
              <w:rPr>
                <w:lang w:eastAsia="en-US"/>
              </w:rPr>
            </w:pPr>
            <w:r w:rsidRPr="00644118">
              <w:rPr>
                <w:lang w:eastAsia="en-US"/>
              </w:rPr>
              <w:t>GHS07</w:t>
            </w:r>
          </w:p>
        </w:tc>
        <w:tc>
          <w:tcPr>
            <w:tcW w:w="1356" w:type="dxa"/>
          </w:tcPr>
          <w:p w:rsidR="004A02C6" w:rsidRPr="00644118" w:rsidRDefault="004A02C6" w:rsidP="00465FD9">
            <w:pPr>
              <w:jc w:val="both"/>
              <w:rPr>
                <w:lang w:eastAsia="en-US"/>
              </w:rPr>
            </w:pPr>
            <w:r w:rsidRPr="00644118">
              <w:rPr>
                <w:lang w:eastAsia="en-US"/>
              </w:rPr>
              <w:t>GHS08</w:t>
            </w:r>
          </w:p>
        </w:tc>
        <w:tc>
          <w:tcPr>
            <w:tcW w:w="1356" w:type="dxa"/>
          </w:tcPr>
          <w:p w:rsidR="004A02C6" w:rsidRPr="00644118" w:rsidRDefault="004A02C6" w:rsidP="00465FD9">
            <w:pPr>
              <w:jc w:val="both"/>
              <w:rPr>
                <w:lang w:eastAsia="en-US"/>
              </w:rPr>
            </w:pPr>
            <w:r w:rsidRPr="00644118">
              <w:rPr>
                <w:lang w:eastAsia="en-US"/>
              </w:rPr>
              <w:t>GHS09</w:t>
            </w:r>
          </w:p>
        </w:tc>
      </w:tr>
    </w:tbl>
    <w:p w:rsidR="00DA28B4" w:rsidRPr="00644118" w:rsidRDefault="00DA28B4" w:rsidP="00DA28B4">
      <w:pPr>
        <w:jc w:val="both"/>
        <w:rPr>
          <w:b/>
          <w:u w:val="single"/>
          <w:lang w:eastAsia="en-US"/>
        </w:rPr>
      </w:pPr>
    </w:p>
    <w:p w:rsidR="00DA28B4" w:rsidRPr="00644118" w:rsidRDefault="00DA28B4" w:rsidP="00DA28B4">
      <w:pPr>
        <w:jc w:val="both"/>
        <w:rPr>
          <w:b/>
          <w:u w:val="single"/>
          <w:lang w:eastAsia="en-US"/>
        </w:rPr>
      </w:pPr>
      <w:r w:rsidRPr="00644118">
        <w:rPr>
          <w:b/>
          <w:lang w:eastAsia="en-US"/>
        </w:rPr>
        <w:t>Pozor</w:t>
      </w:r>
    </w:p>
    <w:p w:rsidR="00DA28B4" w:rsidRPr="00644118" w:rsidRDefault="00DA28B4" w:rsidP="00DA28B4">
      <w:pPr>
        <w:jc w:val="both"/>
        <w:rPr>
          <w:b/>
          <w:u w:val="single"/>
          <w:lang w:eastAsia="en-US"/>
        </w:rPr>
      </w:pP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H319</w:t>
      </w:r>
      <w:r w:rsidRPr="0064411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Spôsobuje vážne podráždenie očí.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H361d</w:t>
      </w:r>
      <w:r w:rsidR="00B57F08">
        <w:rPr>
          <w:lang w:eastAsia="en-US"/>
        </w:rPr>
        <w:tab/>
      </w:r>
      <w:r w:rsidRPr="00644118">
        <w:rPr>
          <w:lang w:eastAsia="en-US"/>
        </w:rPr>
        <w:tab/>
        <w:t>Podozrenie, že spôsobuje poškodenie plodnosti alebo nenarodeného dieťaťa.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H410</w:t>
      </w:r>
      <w:r w:rsidRPr="0064411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Veľmi toxický pre vodné organizmy, s dlhodobými účinkami.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EUH401</w:t>
      </w:r>
      <w:r w:rsidRPr="00644118">
        <w:rPr>
          <w:lang w:eastAsia="en-US"/>
        </w:rPr>
        <w:tab/>
        <w:t xml:space="preserve">Dodržiavajte návod na používanie, aby ste zabránili vzniku rizík pre zdravie ľudí a </w:t>
      </w:r>
      <w:r w:rsidR="00B57F0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životné prostredie.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P102</w:t>
      </w:r>
      <w:r w:rsidRPr="0064411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Uchovávajte mimo dosahu detí.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P201</w:t>
      </w:r>
      <w:r w:rsidRPr="0064411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Pred použitím sa oboznámte s osobitnými pokynmi.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P280</w:t>
      </w:r>
      <w:r w:rsidRPr="0064411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Noste ochranné rukavice/ochranný odev/ochranné okuliare/ochranu tváre.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P391</w:t>
      </w:r>
      <w:r w:rsidRPr="0064411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Zozbierajte uniknutý produkt.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P305+P351+P338</w:t>
      </w:r>
      <w:r w:rsidRPr="00644118">
        <w:rPr>
          <w:lang w:eastAsia="en-US"/>
        </w:rPr>
        <w:tab/>
        <w:t xml:space="preserve">PO ZASIAHNUTÍ OČÍ: Niekoľko minút ich opatrne vyplachujte vodou. Ak </w:t>
      </w:r>
      <w:r w:rsidR="00B57F08">
        <w:rPr>
          <w:lang w:eastAsia="en-US"/>
        </w:rPr>
        <w:tab/>
      </w:r>
      <w:r w:rsidR="00B57F0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 xml:space="preserve">používate kontaktné šošovky a ak je to možné, odstráňte ich. Pokračujte vo </w:t>
      </w:r>
      <w:r w:rsidR="00B57F08">
        <w:rPr>
          <w:lang w:eastAsia="en-US"/>
        </w:rPr>
        <w:tab/>
      </w:r>
      <w:r w:rsidR="00B57F0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vyplachovaní.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P308+P313</w:t>
      </w:r>
      <w:r w:rsidRPr="00644118">
        <w:rPr>
          <w:lang w:eastAsia="en-US"/>
        </w:rPr>
        <w:tab/>
        <w:t>Po expozícii alebo podozrení z nej: Vyhľadajte lekársku pomoc/starostlivosť.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>P501</w:t>
      </w:r>
      <w:r w:rsidRPr="00644118">
        <w:rPr>
          <w:lang w:eastAsia="en-US"/>
        </w:rPr>
        <w:tab/>
      </w:r>
      <w:r w:rsidR="00B57F08">
        <w:rPr>
          <w:lang w:eastAsia="en-US"/>
        </w:rPr>
        <w:tab/>
      </w:r>
      <w:r w:rsidRPr="00644118">
        <w:rPr>
          <w:lang w:eastAsia="en-US"/>
        </w:rPr>
        <w:t>Zneškodnite obsah/nádobu na oficiálnu skládku odpadu</w:t>
      </w:r>
      <w:r w:rsidR="00E8668A">
        <w:rPr>
          <w:lang w:eastAsia="en-US"/>
        </w:rPr>
        <w:t>.</w:t>
      </w:r>
    </w:p>
    <w:p w:rsidR="00DA28B4" w:rsidRPr="00644118" w:rsidRDefault="00DA28B4" w:rsidP="00DA28B4">
      <w:pPr>
        <w:jc w:val="both"/>
        <w:rPr>
          <w:b/>
          <w:u w:val="single"/>
          <w:lang w:eastAsia="en-US"/>
        </w:rPr>
      </w:pP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b/>
          <w:lang w:eastAsia="en-US"/>
        </w:rPr>
        <w:t>Z4</w:t>
      </w:r>
      <w:r w:rsidRPr="00644118">
        <w:rPr>
          <w:b/>
          <w:lang w:eastAsia="en-US"/>
        </w:rPr>
        <w:tab/>
      </w:r>
      <w:r w:rsidRPr="00644118">
        <w:rPr>
          <w:lang w:eastAsia="en-US"/>
        </w:rPr>
        <w:t xml:space="preserve">Riziko  vyplývajúce z použitia prípravku je pri dodržaní predpísanej dávky alebo </w:t>
      </w:r>
      <w:r w:rsidR="00B57F08">
        <w:rPr>
          <w:lang w:eastAsia="en-US"/>
        </w:rPr>
        <w:tab/>
      </w:r>
      <w:r w:rsidRPr="00644118">
        <w:rPr>
          <w:lang w:eastAsia="en-US"/>
        </w:rPr>
        <w:t>koncentrácie</w:t>
      </w:r>
      <w:r w:rsidRPr="00644118">
        <w:rPr>
          <w:b/>
          <w:lang w:eastAsia="en-US"/>
        </w:rPr>
        <w:t xml:space="preserve"> </w:t>
      </w:r>
      <w:r w:rsidRPr="00644118">
        <w:rPr>
          <w:lang w:eastAsia="en-US"/>
        </w:rPr>
        <w:t>pre domáce, hospodárske a voľne žijúce zvieratá prijateľné.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b/>
          <w:lang w:eastAsia="en-US"/>
        </w:rPr>
        <w:lastRenderedPageBreak/>
        <w:t>Vt5</w:t>
      </w:r>
      <w:r w:rsidRPr="00644118">
        <w:rPr>
          <w:lang w:eastAsia="en-US"/>
        </w:rPr>
        <w:tab/>
        <w:t xml:space="preserve">Riziko vyplývajúce z použitia prípravku pri dodržaní predpísanej dávky alebo koncentrácie </w:t>
      </w:r>
      <w:r w:rsidR="00B57F08">
        <w:rPr>
          <w:lang w:eastAsia="en-US"/>
        </w:rPr>
        <w:tab/>
      </w:r>
      <w:r w:rsidRPr="00644118">
        <w:rPr>
          <w:lang w:eastAsia="en-US"/>
        </w:rPr>
        <w:t>je pre vtáky prijateľné.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b/>
          <w:lang w:eastAsia="en-US"/>
        </w:rPr>
        <w:t>Vo1</w:t>
      </w:r>
      <w:r w:rsidRPr="00644118">
        <w:rPr>
          <w:lang w:eastAsia="en-US"/>
        </w:rPr>
        <w:tab/>
        <w:t>Pre ryby a ostatné vodné živočíchy mimoriadne jedovatý.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b/>
          <w:lang w:eastAsia="en-US"/>
        </w:rPr>
        <w:t>V3</w:t>
      </w:r>
      <w:r w:rsidRPr="00644118">
        <w:rPr>
          <w:lang w:eastAsia="en-US"/>
        </w:rPr>
        <w:tab/>
        <w:t>Riziko prípravku je prijateľné pre: dážďovky a iné pôdne makroorganizmy.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b/>
          <w:lang w:eastAsia="en-US"/>
        </w:rPr>
        <w:t>Vč3</w:t>
      </w:r>
      <w:r w:rsidRPr="00644118">
        <w:rPr>
          <w:lang w:eastAsia="en-US"/>
        </w:rPr>
        <w:tab/>
        <w:t xml:space="preserve">Riziko vyplývajúce z použitia prípravku pri dodržaní predpísanej dávky alebo koncentrácie </w:t>
      </w:r>
      <w:r w:rsidR="00B57F08">
        <w:rPr>
          <w:lang w:eastAsia="en-US"/>
        </w:rPr>
        <w:tab/>
      </w:r>
      <w:r w:rsidRPr="00644118">
        <w:rPr>
          <w:lang w:eastAsia="en-US"/>
        </w:rPr>
        <w:t>je pre včely  prijateľné.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lang w:eastAsia="en-US"/>
        </w:rPr>
        <w:t xml:space="preserve">Prípravok je pre populácie </w:t>
      </w:r>
      <w:r w:rsidRPr="00644118">
        <w:rPr>
          <w:i/>
          <w:lang w:eastAsia="en-US"/>
        </w:rPr>
        <w:t>Typhlodromus pyri</w:t>
      </w:r>
      <w:r w:rsidRPr="00644118">
        <w:rPr>
          <w:lang w:eastAsia="en-US"/>
        </w:rPr>
        <w:t xml:space="preserve"> a </w:t>
      </w:r>
      <w:r w:rsidRPr="00644118">
        <w:rPr>
          <w:i/>
          <w:lang w:eastAsia="en-US"/>
        </w:rPr>
        <w:t>Aphidius rhopalosiphi</w:t>
      </w:r>
      <w:r w:rsidRPr="00644118">
        <w:rPr>
          <w:lang w:eastAsia="en-US"/>
        </w:rPr>
        <w:t xml:space="preserve"> s prijateľným rizikom.</w:t>
      </w:r>
    </w:p>
    <w:p w:rsidR="00B57F08" w:rsidRDefault="00B57F08" w:rsidP="00DA28B4">
      <w:pPr>
        <w:jc w:val="both"/>
        <w:rPr>
          <w:b/>
          <w:lang w:eastAsia="en-US"/>
        </w:rPr>
      </w:pPr>
    </w:p>
    <w:p w:rsidR="00B57F08" w:rsidRPr="00644118" w:rsidRDefault="00B57F08" w:rsidP="00B57F08">
      <w:pPr>
        <w:jc w:val="both"/>
        <w:rPr>
          <w:b/>
          <w:lang w:eastAsia="en-US"/>
        </w:rPr>
      </w:pPr>
      <w:r w:rsidRPr="00644118">
        <w:rPr>
          <w:b/>
          <w:lang w:eastAsia="en-US"/>
        </w:rPr>
        <w:t>Zákaz používania prípravku v 1.a 2. ochrannom pásme zdrojov pitných vôd!</w:t>
      </w:r>
    </w:p>
    <w:p w:rsidR="00B57F08" w:rsidRPr="00644118" w:rsidRDefault="00B57F08" w:rsidP="00B57F08">
      <w:pPr>
        <w:jc w:val="both"/>
        <w:rPr>
          <w:lang w:eastAsia="en-US"/>
        </w:rPr>
      </w:pPr>
      <w:r w:rsidRPr="00644118">
        <w:rPr>
          <w:b/>
          <w:lang w:eastAsia="en-US"/>
        </w:rPr>
        <w:t>PHO1</w:t>
      </w:r>
      <w:r w:rsidRPr="00644118">
        <w:rPr>
          <w:b/>
          <w:lang w:eastAsia="en-US"/>
        </w:rPr>
        <w:tab/>
      </w:r>
      <w:r w:rsidRPr="00644118">
        <w:rPr>
          <w:lang w:eastAsia="en-US"/>
        </w:rPr>
        <w:t>Prípravok je vylúčený z použitia vo vnútornej časti 2. ochranného pásma zdrojov podzemných i povrchových vôd (pokiaľ nie je v konkrétnych prípadoch 2. ochranné pásmo rozdelené na vnútornú a vonkajšiu časť, platí zákaz pre celé 2. pásmo).</w:t>
      </w:r>
    </w:p>
    <w:p w:rsidR="00B57F08" w:rsidRDefault="00B57F08" w:rsidP="00DA28B4">
      <w:pPr>
        <w:jc w:val="both"/>
        <w:rPr>
          <w:b/>
          <w:lang w:eastAsia="en-US"/>
        </w:rPr>
      </w:pPr>
    </w:p>
    <w:p w:rsidR="00B57F08" w:rsidRDefault="00B57F08" w:rsidP="00DA28B4">
      <w:pPr>
        <w:jc w:val="both"/>
        <w:rPr>
          <w:b/>
          <w:lang w:eastAsia="en-US"/>
        </w:rPr>
      </w:pP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b/>
          <w:lang w:eastAsia="en-US"/>
        </w:rPr>
        <w:t>SP1</w:t>
      </w:r>
      <w:r w:rsidRPr="00644118">
        <w:rPr>
          <w:lang w:eastAsia="en-US"/>
        </w:rPr>
        <w:tab/>
        <w:t xml:space="preserve">Neznečisťovať vodu prípravkom alebo jeho obalom. (Nečistiť aplikačné zariadenia v </w:t>
      </w:r>
      <w:r w:rsidR="00B57F08">
        <w:rPr>
          <w:lang w:eastAsia="en-US"/>
        </w:rPr>
        <w:tab/>
      </w:r>
      <w:r w:rsidRPr="00644118">
        <w:rPr>
          <w:lang w:eastAsia="en-US"/>
        </w:rPr>
        <w:t xml:space="preserve">blízkosti povrchových vôd/Zabrániť kontaminácii prostredníctvom odtokových kanálov </w:t>
      </w:r>
      <w:r w:rsidR="00B57F08">
        <w:rPr>
          <w:lang w:eastAsia="en-US"/>
        </w:rPr>
        <w:tab/>
      </w:r>
      <w:r w:rsidRPr="00644118">
        <w:rPr>
          <w:lang w:eastAsia="en-US"/>
        </w:rPr>
        <w:t>z poľnohospodárskych dvorov a vozoviek ciest.)</w:t>
      </w:r>
    </w:p>
    <w:p w:rsidR="00DA28B4" w:rsidRPr="00644118" w:rsidRDefault="00DA28B4" w:rsidP="00DA28B4">
      <w:pPr>
        <w:jc w:val="both"/>
        <w:rPr>
          <w:lang w:eastAsia="en-US"/>
        </w:rPr>
      </w:pPr>
      <w:r w:rsidRPr="00644118">
        <w:rPr>
          <w:b/>
          <w:lang w:eastAsia="en-US"/>
        </w:rPr>
        <w:t>SPe</w:t>
      </w:r>
      <w:r w:rsidR="00802D20">
        <w:rPr>
          <w:b/>
          <w:lang w:eastAsia="en-US"/>
        </w:rPr>
        <w:t>1</w:t>
      </w:r>
      <w:r w:rsidRPr="00644118">
        <w:rPr>
          <w:b/>
          <w:lang w:eastAsia="en-US"/>
        </w:rPr>
        <w:tab/>
      </w:r>
      <w:r w:rsidRPr="00644118">
        <w:rPr>
          <w:lang w:eastAsia="en-US"/>
        </w:rPr>
        <w:t xml:space="preserve">Z dôvodu ochrany podzemnej vody nepoužívajte prípravok v repke olejnej v dávke 2 x 0,8 </w:t>
      </w:r>
      <w:r w:rsidR="00B57F08">
        <w:rPr>
          <w:lang w:eastAsia="en-US"/>
        </w:rPr>
        <w:tab/>
      </w:r>
      <w:r w:rsidRPr="00644118">
        <w:rPr>
          <w:lang w:eastAsia="en-US"/>
        </w:rPr>
        <w:t xml:space="preserve">l/ha viac ako raz za 3 roky na tom istom pozemku a v dávke 1 x 0,8 l/ha viac ako raz za 2 </w:t>
      </w:r>
      <w:r w:rsidR="00B57F08">
        <w:rPr>
          <w:lang w:eastAsia="en-US"/>
        </w:rPr>
        <w:tab/>
      </w:r>
      <w:r w:rsidRPr="00644118">
        <w:rPr>
          <w:lang w:eastAsia="en-US"/>
        </w:rPr>
        <w:t>roky na tom istom pozemku</w:t>
      </w:r>
    </w:p>
    <w:p w:rsidR="00DA28B4" w:rsidRPr="00644118" w:rsidRDefault="00DA28B4" w:rsidP="00DA28B4">
      <w:pPr>
        <w:jc w:val="both"/>
        <w:rPr>
          <w:b/>
          <w:u w:val="single"/>
          <w:lang w:eastAsia="en-US"/>
        </w:rPr>
      </w:pPr>
      <w:r w:rsidRPr="005B5B6B">
        <w:rPr>
          <w:b/>
          <w:lang w:eastAsia="en-US"/>
        </w:rPr>
        <w:t>SPe3</w:t>
      </w:r>
      <w:r w:rsidRPr="005B5B6B">
        <w:rPr>
          <w:b/>
          <w:lang w:eastAsia="en-US"/>
        </w:rPr>
        <w:tab/>
      </w:r>
      <w:r w:rsidRPr="005B5B6B">
        <w:rPr>
          <w:lang w:eastAsia="en-US"/>
        </w:rPr>
        <w:t xml:space="preserve">Z dôvodu ochrany vodných organizmov udržiavajte medzi ošetrovanou plochou </w:t>
      </w:r>
      <w:r w:rsidR="00B57F08" w:rsidRPr="005B5B6B">
        <w:rPr>
          <w:lang w:eastAsia="en-US"/>
        </w:rPr>
        <w:tab/>
      </w:r>
      <w:r w:rsidRPr="005B5B6B">
        <w:rPr>
          <w:lang w:eastAsia="en-US"/>
        </w:rPr>
        <w:t>a povrchovými vodnými plochami ochranný pás zeme v dĺžke 3 m.</w:t>
      </w:r>
    </w:p>
    <w:p w:rsidR="00DA28B4" w:rsidRPr="00644118" w:rsidRDefault="00DA28B4" w:rsidP="00DA28B4">
      <w:pPr>
        <w:jc w:val="both"/>
        <w:rPr>
          <w:b/>
          <w:u w:val="single"/>
          <w:lang w:eastAsia="en-US"/>
        </w:rPr>
      </w:pPr>
    </w:p>
    <w:p w:rsidR="005B5B6B" w:rsidRPr="005B5B6B" w:rsidRDefault="00B57F08" w:rsidP="00B57F08">
      <w:pPr>
        <w:jc w:val="both"/>
        <w:rPr>
          <w:b/>
          <w:lang w:eastAsia="en-US"/>
        </w:rPr>
      </w:pPr>
      <w:r w:rsidRPr="005B5B6B">
        <w:rPr>
          <w:b/>
          <w:lang w:eastAsia="en-US"/>
        </w:rPr>
        <w:t>Dbajte o to, aby sa prípravok v žiadnom prípade nedostal do tečúcich a stojatých vôd vo voľnej prírode!</w:t>
      </w:r>
    </w:p>
    <w:p w:rsidR="00DA28B4" w:rsidRPr="00644118" w:rsidRDefault="00DA28B4" w:rsidP="00B57F08">
      <w:pPr>
        <w:jc w:val="both"/>
        <w:rPr>
          <w:b/>
          <w:lang w:eastAsia="en-US"/>
        </w:rPr>
      </w:pPr>
      <w:r w:rsidRPr="00644118">
        <w:rPr>
          <w:b/>
          <w:lang w:eastAsia="en-US"/>
        </w:rPr>
        <w:t>Dodržujte ochrannú zónu!</w:t>
      </w:r>
    </w:p>
    <w:p w:rsidR="00DA28B4" w:rsidRPr="00644118" w:rsidRDefault="00DA28B4" w:rsidP="00DA28B4">
      <w:pPr>
        <w:jc w:val="both"/>
        <w:rPr>
          <w:b/>
          <w:lang w:eastAsia="en-US"/>
        </w:rPr>
      </w:pPr>
      <w:r w:rsidRPr="00644118">
        <w:rPr>
          <w:b/>
          <w:lang w:eastAsia="en-US"/>
        </w:rPr>
        <w:t>Zákaz vylievania nespotrebovaných zvyškov prípravku a postrekovej kvapaliny do verejnej kanalizácie.</w:t>
      </w:r>
    </w:p>
    <w:p w:rsidR="00DA28B4" w:rsidRPr="00644118" w:rsidRDefault="00DA28B4" w:rsidP="00DA28B4">
      <w:pPr>
        <w:jc w:val="both"/>
        <w:rPr>
          <w:b/>
          <w:lang w:eastAsia="en-US"/>
        </w:rPr>
      </w:pPr>
      <w:r w:rsidRPr="00644118">
        <w:rPr>
          <w:b/>
          <w:lang w:eastAsia="en-US"/>
        </w:rPr>
        <w:t xml:space="preserve">Uložte mimo dosahu zvierat! </w:t>
      </w:r>
    </w:p>
    <w:p w:rsidR="00DA28B4" w:rsidRPr="00DB71D4" w:rsidRDefault="00DA28B4" w:rsidP="00DA28B4">
      <w:pPr>
        <w:jc w:val="both"/>
        <w:rPr>
          <w:b/>
          <w:caps/>
          <w:lang w:eastAsia="en-US"/>
        </w:rPr>
      </w:pPr>
      <w:r w:rsidRPr="00DB71D4">
        <w:rPr>
          <w:b/>
          <w:caps/>
          <w:lang w:eastAsia="en-US"/>
        </w:rPr>
        <w:t>Prípravok v tomto veľkospotrebiteľskom balení nesmie byť ponúkaný alebo predávaný širokej verejnosti.</w:t>
      </w:r>
    </w:p>
    <w:p w:rsidR="00DA28B4" w:rsidRPr="00DB71D4" w:rsidRDefault="00DA28B4" w:rsidP="00DA28B4">
      <w:pPr>
        <w:jc w:val="both"/>
        <w:rPr>
          <w:b/>
          <w:lang w:eastAsia="en-US"/>
        </w:rPr>
      </w:pPr>
    </w:p>
    <w:p w:rsidR="00DA28B4" w:rsidRPr="00DB71D4" w:rsidRDefault="00DA28B4" w:rsidP="00DA28B4">
      <w:pPr>
        <w:jc w:val="both"/>
        <w:rPr>
          <w:b/>
          <w:lang w:eastAsia="en-US"/>
        </w:rPr>
      </w:pPr>
      <w:r w:rsidRPr="00DB71D4">
        <w:rPr>
          <w:b/>
          <w:lang w:eastAsia="en-US"/>
        </w:rPr>
        <w:t>Výrobca :</w:t>
      </w:r>
    </w:p>
    <w:p w:rsidR="00DA28B4" w:rsidRPr="00DB71D4" w:rsidRDefault="00DA28B4" w:rsidP="00DA28B4">
      <w:pPr>
        <w:jc w:val="both"/>
        <w:rPr>
          <w:bCs/>
          <w:lang w:eastAsia="en-US"/>
        </w:rPr>
      </w:pPr>
      <w:r w:rsidRPr="00DB71D4">
        <w:rPr>
          <w:bCs/>
          <w:lang w:eastAsia="en-US"/>
        </w:rPr>
        <w:t>Syngenta Crop Protection AG, Schwarzwaldallee 215, 4058 Basel, Švajčiarsko</w:t>
      </w:r>
    </w:p>
    <w:p w:rsidR="00DA28B4" w:rsidRPr="00DB71D4" w:rsidRDefault="00DA28B4" w:rsidP="00DA28B4">
      <w:pPr>
        <w:jc w:val="both"/>
        <w:rPr>
          <w:bCs/>
          <w:lang w:eastAsia="en-US"/>
        </w:rPr>
      </w:pPr>
    </w:p>
    <w:p w:rsidR="00DA28B4" w:rsidRPr="00DB71D4" w:rsidRDefault="00DA28B4" w:rsidP="00DA28B4">
      <w:pPr>
        <w:numPr>
          <w:ilvl w:val="12"/>
          <w:numId w:val="0"/>
        </w:numPr>
        <w:rPr>
          <w:b/>
          <w:bCs/>
          <w:lang w:eastAsia="en-US"/>
        </w:rPr>
      </w:pPr>
      <w:r w:rsidRPr="00DB71D4">
        <w:rPr>
          <w:b/>
          <w:bCs/>
          <w:lang w:eastAsia="en-US"/>
        </w:rPr>
        <w:t xml:space="preserve">Držiteľ </w:t>
      </w:r>
      <w:r w:rsidR="00104678">
        <w:rPr>
          <w:b/>
          <w:bCs/>
          <w:lang w:eastAsia="en-US"/>
        </w:rPr>
        <w:t>autorizácie</w:t>
      </w:r>
      <w:r w:rsidRPr="00DB71D4">
        <w:rPr>
          <w:b/>
          <w:bCs/>
          <w:lang w:eastAsia="en-US"/>
        </w:rPr>
        <w:t>:</w:t>
      </w:r>
    </w:p>
    <w:p w:rsidR="00DA28B4" w:rsidRPr="00A0303D" w:rsidRDefault="00DA28B4" w:rsidP="00DA28B4">
      <w:pPr>
        <w:pStyle w:val="hustynormal"/>
        <w:spacing w:before="0" w:after="0"/>
        <w:rPr>
          <w:szCs w:val="24"/>
        </w:rPr>
      </w:pPr>
      <w:r w:rsidRPr="00DB71D4">
        <w:t>Syngenta Slovakia s.r.o.,</w:t>
      </w:r>
      <w:r w:rsidRPr="00A0303D">
        <w:rPr>
          <w:szCs w:val="24"/>
        </w:rPr>
        <w:t xml:space="preserve"> Prievozská 4/D, 821 09 Bratislava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542173" w:rsidP="00DA28B4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Č</w:t>
      </w:r>
      <w:r w:rsidRPr="00DB71D4">
        <w:rPr>
          <w:b/>
          <w:bCs/>
          <w:lang w:eastAsia="en-US"/>
        </w:rPr>
        <w:t xml:space="preserve">íslo </w:t>
      </w:r>
      <w:r>
        <w:rPr>
          <w:b/>
          <w:bCs/>
          <w:lang w:eastAsia="en-US"/>
        </w:rPr>
        <w:t>autorizácie</w:t>
      </w:r>
      <w:r w:rsidRPr="00DB71D4">
        <w:rPr>
          <w:b/>
          <w:bCs/>
          <w:lang w:eastAsia="en-US"/>
        </w:rPr>
        <w:t xml:space="preserve"> </w:t>
      </w:r>
      <w:r w:rsidR="00DA28B4" w:rsidRPr="00DB71D4">
        <w:rPr>
          <w:b/>
          <w:bCs/>
          <w:lang w:eastAsia="en-US"/>
        </w:rPr>
        <w:t>ÚKSÚP:</w:t>
      </w:r>
      <w:r w:rsidR="00DA28B4" w:rsidRPr="00DB71D4">
        <w:rPr>
          <w:lang w:eastAsia="en-US"/>
        </w:rPr>
        <w:t xml:space="preserve"> </w:t>
      </w:r>
      <w:r w:rsidR="00DA28B4" w:rsidRPr="00DB71D4">
        <w:rPr>
          <w:lang w:eastAsia="en-US"/>
        </w:rPr>
        <w:tab/>
      </w:r>
      <w:r w:rsidR="00DA28B4" w:rsidRPr="00DB71D4">
        <w:rPr>
          <w:lang w:eastAsia="en-US"/>
        </w:rPr>
        <w:tab/>
      </w:r>
      <w:r w:rsidR="001A31F4" w:rsidRPr="001A31F4">
        <w:rPr>
          <w:b/>
          <w:sz w:val="28"/>
          <w:szCs w:val="28"/>
          <w:lang w:eastAsia="en-US"/>
        </w:rPr>
        <w:t>16-02-1700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b/>
          <w:bCs/>
          <w:lang w:eastAsia="en-US"/>
        </w:rPr>
        <w:t>Číslo šarže:</w:t>
      </w:r>
      <w:r w:rsidRPr="00DB71D4">
        <w:rPr>
          <w:lang w:eastAsia="en-US"/>
        </w:rPr>
        <w:tab/>
      </w:r>
      <w:r w:rsidRPr="00DB71D4">
        <w:rPr>
          <w:lang w:eastAsia="en-US"/>
        </w:rPr>
        <w:tab/>
      </w:r>
      <w:r w:rsidRPr="00DB71D4">
        <w:rPr>
          <w:lang w:eastAsia="en-US"/>
        </w:rPr>
        <w:tab/>
      </w:r>
      <w:r w:rsidRPr="00DB71D4">
        <w:rPr>
          <w:lang w:eastAsia="en-US"/>
        </w:rPr>
        <w:tab/>
        <w:t>uvedené na obale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b/>
          <w:bCs/>
          <w:lang w:eastAsia="en-US"/>
        </w:rPr>
        <w:t>Dátum výroby:</w:t>
      </w:r>
      <w:r w:rsidRPr="00DB71D4">
        <w:rPr>
          <w:lang w:eastAsia="en-US"/>
        </w:rPr>
        <w:tab/>
      </w:r>
      <w:r w:rsidRPr="00DB71D4">
        <w:rPr>
          <w:lang w:eastAsia="en-US"/>
        </w:rPr>
        <w:tab/>
      </w:r>
      <w:r w:rsidRPr="00DB71D4">
        <w:rPr>
          <w:lang w:eastAsia="en-US"/>
        </w:rPr>
        <w:tab/>
        <w:t>uvedený na obale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b/>
          <w:lang w:eastAsia="en-US"/>
        </w:rPr>
        <w:t>Balenie:</w:t>
      </w:r>
      <w:r w:rsidRPr="00DB71D4">
        <w:rPr>
          <w:lang w:eastAsia="en-US"/>
        </w:rPr>
        <w:tab/>
      </w:r>
      <w:r w:rsidRPr="00DB71D4">
        <w:rPr>
          <w:lang w:eastAsia="en-US"/>
        </w:rPr>
        <w:tab/>
      </w:r>
      <w:r w:rsidRPr="00DB71D4">
        <w:rPr>
          <w:lang w:eastAsia="en-US"/>
        </w:rPr>
        <w:tab/>
      </w:r>
      <w:r w:rsidRPr="00DB71D4">
        <w:rPr>
          <w:lang w:eastAsia="en-US"/>
        </w:rPr>
        <w:tab/>
      </w:r>
      <w:smartTag w:uri="urn:schemas-microsoft-com:office:smarttags" w:element="metricconverter">
        <w:smartTagPr>
          <w:attr w:name="ProductID" w:val="1 l"/>
        </w:smartTagPr>
        <w:r w:rsidRPr="00DB71D4">
          <w:rPr>
            <w:lang w:eastAsia="en-US"/>
          </w:rPr>
          <w:t>1 l</w:t>
        </w:r>
      </w:smartTag>
      <w:r w:rsidRPr="00DB71D4">
        <w:rPr>
          <w:lang w:eastAsia="en-US"/>
        </w:rPr>
        <w:t xml:space="preserve"> HDPE fľaša, </w:t>
      </w:r>
      <w:smartTag w:uri="urn:schemas-microsoft-com:office:smarttags" w:element="metricconverter">
        <w:smartTagPr>
          <w:attr w:name="ProductID" w:val="5 l"/>
        </w:smartTagPr>
        <w:r w:rsidRPr="00DB71D4">
          <w:rPr>
            <w:lang w:eastAsia="en-US"/>
          </w:rPr>
          <w:t>5 l</w:t>
        </w:r>
      </w:smartTag>
      <w:r w:rsidRPr="00DB71D4">
        <w:rPr>
          <w:lang w:eastAsia="en-US"/>
        </w:rPr>
        <w:t xml:space="preserve"> HDPE kanister, 20</w:t>
      </w:r>
      <w:r>
        <w:rPr>
          <w:lang w:eastAsia="en-US"/>
        </w:rPr>
        <w:t xml:space="preserve"> </w:t>
      </w:r>
      <w:r w:rsidRPr="00DB71D4">
        <w:rPr>
          <w:lang w:eastAsia="en-US"/>
        </w:rPr>
        <w:t>l HDPE kanister</w:t>
      </w:r>
    </w:p>
    <w:p w:rsidR="00DA28B4" w:rsidRPr="00DB71D4" w:rsidRDefault="00DA28B4" w:rsidP="00DA28B4">
      <w:pPr>
        <w:jc w:val="both"/>
        <w:rPr>
          <w:b/>
          <w:u w:val="single"/>
          <w:lang w:eastAsia="en-US"/>
        </w:rPr>
      </w:pPr>
    </w:p>
    <w:p w:rsidR="00DA28B4" w:rsidRPr="00104678" w:rsidRDefault="00DA28B4" w:rsidP="00DA28B4">
      <w:pPr>
        <w:jc w:val="both"/>
        <w:rPr>
          <w:b/>
        </w:rPr>
      </w:pPr>
      <w:r w:rsidRPr="00C42168">
        <w:rPr>
          <w:b/>
          <w:bCs/>
          <w:lang w:eastAsia="en-US"/>
        </w:rPr>
        <w:t>PÓSOBENIE PRÍPRAVKU</w:t>
      </w:r>
    </w:p>
    <w:p w:rsidR="00DA28B4" w:rsidRPr="00C42168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Účinná látka difenoconazole zo skupiny triazolov zastavuje vývoj húb inhibíciou biosyntézy ergosterolu v bunkových membránach - pôsobí ako demetylačný inhibítor (DMI). Difenoconazole je systémov</w:t>
      </w:r>
      <w:r>
        <w:rPr>
          <w:lang w:eastAsia="en-US"/>
        </w:rPr>
        <w:t>á</w:t>
      </w:r>
      <w:r w:rsidRPr="00DB71D4">
        <w:rPr>
          <w:lang w:eastAsia="en-US"/>
        </w:rPr>
        <w:t xml:space="preserve"> fungicíd</w:t>
      </w:r>
      <w:r>
        <w:rPr>
          <w:lang w:eastAsia="en-US"/>
        </w:rPr>
        <w:t>na látka</w:t>
      </w:r>
      <w:r w:rsidRPr="00DB71D4">
        <w:rPr>
          <w:lang w:eastAsia="en-US"/>
        </w:rPr>
        <w:t xml:space="preserve"> s preventívnym a kuratívnym účinkom. Je absorbovan</w:t>
      </w:r>
      <w:r>
        <w:rPr>
          <w:lang w:eastAsia="en-US"/>
        </w:rPr>
        <w:t>á</w:t>
      </w:r>
      <w:r w:rsidRPr="00DB71D4">
        <w:rPr>
          <w:lang w:eastAsia="en-US"/>
        </w:rPr>
        <w:t xml:space="preserve"> listami a v rastline sa šíri akropetálne a translaminárne. 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Účinná látka tebuconazole zo skupiny triazolov inhibuje biosyntézu ergosterolu.  Tebuconazole je systémov</w:t>
      </w:r>
      <w:r>
        <w:rPr>
          <w:lang w:eastAsia="en-US"/>
        </w:rPr>
        <w:t>á</w:t>
      </w:r>
      <w:r w:rsidRPr="00DB71D4">
        <w:rPr>
          <w:lang w:eastAsia="en-US"/>
        </w:rPr>
        <w:t xml:space="preserve"> fungicíd</w:t>
      </w:r>
      <w:r>
        <w:rPr>
          <w:lang w:eastAsia="en-US"/>
        </w:rPr>
        <w:t>na účinná látka</w:t>
      </w:r>
      <w:r w:rsidRPr="00DB71D4">
        <w:rPr>
          <w:lang w:eastAsia="en-US"/>
        </w:rPr>
        <w:t xml:space="preserve"> s prevent</w:t>
      </w:r>
      <w:r>
        <w:rPr>
          <w:lang w:eastAsia="en-US"/>
        </w:rPr>
        <w:t>í</w:t>
      </w:r>
      <w:r w:rsidRPr="00DB71D4">
        <w:rPr>
          <w:lang w:eastAsia="en-US"/>
        </w:rPr>
        <w:t>vnym, kurat</w:t>
      </w:r>
      <w:r>
        <w:rPr>
          <w:lang w:eastAsia="en-US"/>
        </w:rPr>
        <w:t>í</w:t>
      </w:r>
      <w:r w:rsidRPr="00DB71D4">
        <w:rPr>
          <w:lang w:eastAsia="en-US"/>
        </w:rPr>
        <w:t>vnym a eradikat</w:t>
      </w:r>
      <w:r>
        <w:rPr>
          <w:lang w:eastAsia="en-US"/>
        </w:rPr>
        <w:t>í</w:t>
      </w:r>
      <w:r w:rsidRPr="00DB71D4">
        <w:rPr>
          <w:lang w:eastAsia="en-US"/>
        </w:rPr>
        <w:t>vnym účinkom. Je absorbovan</w:t>
      </w:r>
      <w:r>
        <w:rPr>
          <w:lang w:eastAsia="en-US"/>
        </w:rPr>
        <w:t>á</w:t>
      </w:r>
      <w:r w:rsidRPr="00DB71D4">
        <w:rPr>
          <w:lang w:eastAsia="en-US"/>
        </w:rPr>
        <w:t xml:space="preserve"> vegetatívnymi rastlinnými orgánmi a v rastline sa šíri akropetálne.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b/>
          <w:bCs/>
          <w:lang w:eastAsia="en-US"/>
        </w:rPr>
      </w:pPr>
      <w:r w:rsidRPr="00DB71D4">
        <w:rPr>
          <w:b/>
          <w:bCs/>
          <w:lang w:eastAsia="en-US"/>
        </w:rPr>
        <w:t>NÁVOD NA POUŽITIE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429"/>
        <w:gridCol w:w="1515"/>
        <w:gridCol w:w="1326"/>
        <w:gridCol w:w="2756"/>
      </w:tblGrid>
      <w:tr w:rsidR="00DA28B4" w:rsidRPr="00DB71D4" w:rsidTr="00CF240C">
        <w:trPr>
          <w:jc w:val="center"/>
        </w:trPr>
        <w:tc>
          <w:tcPr>
            <w:tcW w:w="1836" w:type="dxa"/>
            <w:shd w:val="clear" w:color="auto" w:fill="E6E6E6"/>
          </w:tcPr>
          <w:p w:rsidR="00DA28B4" w:rsidRPr="00DB71D4" w:rsidRDefault="00DA28B4" w:rsidP="00465FD9">
            <w:pPr>
              <w:jc w:val="both"/>
              <w:rPr>
                <w:b/>
                <w:lang w:eastAsia="en-US"/>
              </w:rPr>
            </w:pPr>
            <w:r w:rsidRPr="00DB71D4">
              <w:rPr>
                <w:b/>
                <w:lang w:eastAsia="en-US"/>
              </w:rPr>
              <w:t>Plodina</w:t>
            </w:r>
          </w:p>
        </w:tc>
        <w:tc>
          <w:tcPr>
            <w:tcW w:w="2429" w:type="dxa"/>
            <w:shd w:val="clear" w:color="auto" w:fill="E6E6E6"/>
          </w:tcPr>
          <w:p w:rsidR="00DA28B4" w:rsidRPr="00DB71D4" w:rsidRDefault="00DA28B4" w:rsidP="00465FD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 použitia</w:t>
            </w:r>
          </w:p>
        </w:tc>
        <w:tc>
          <w:tcPr>
            <w:tcW w:w="1515" w:type="dxa"/>
            <w:shd w:val="clear" w:color="auto" w:fill="E6E6E6"/>
          </w:tcPr>
          <w:p w:rsidR="00DA28B4" w:rsidRPr="00DB71D4" w:rsidRDefault="00DA28B4" w:rsidP="00465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Dávka/</w:t>
            </w:r>
            <w:r w:rsidRPr="00DB71D4">
              <w:rPr>
                <w:b/>
                <w:lang w:eastAsia="en-US"/>
              </w:rPr>
              <w:t>ha</w:t>
            </w:r>
          </w:p>
        </w:tc>
        <w:tc>
          <w:tcPr>
            <w:tcW w:w="1326" w:type="dxa"/>
            <w:shd w:val="clear" w:color="auto" w:fill="E6E6E6"/>
          </w:tcPr>
          <w:p w:rsidR="00DA28B4" w:rsidRPr="00DB71D4" w:rsidRDefault="00DA28B4" w:rsidP="00465FD9">
            <w:pPr>
              <w:jc w:val="center"/>
              <w:rPr>
                <w:b/>
                <w:lang w:eastAsia="en-US"/>
              </w:rPr>
            </w:pPr>
            <w:r w:rsidRPr="00DB71D4">
              <w:rPr>
                <w:b/>
                <w:lang w:eastAsia="en-US"/>
              </w:rPr>
              <w:t>Ochranná doba</w:t>
            </w:r>
          </w:p>
        </w:tc>
        <w:tc>
          <w:tcPr>
            <w:tcW w:w="2756" w:type="dxa"/>
            <w:shd w:val="clear" w:color="auto" w:fill="E6E6E6"/>
          </w:tcPr>
          <w:p w:rsidR="00DA28B4" w:rsidRPr="00DB71D4" w:rsidRDefault="00DA28B4" w:rsidP="00465FD9">
            <w:pPr>
              <w:jc w:val="center"/>
              <w:rPr>
                <w:b/>
                <w:lang w:eastAsia="en-US"/>
              </w:rPr>
            </w:pPr>
            <w:r w:rsidRPr="00DB71D4">
              <w:rPr>
                <w:b/>
                <w:lang w:eastAsia="en-US"/>
              </w:rPr>
              <w:t>Poznámka</w:t>
            </w:r>
          </w:p>
        </w:tc>
      </w:tr>
      <w:tr w:rsidR="00DA28B4" w:rsidRPr="00DB71D4" w:rsidTr="00CF240C">
        <w:trPr>
          <w:jc w:val="center"/>
        </w:trPr>
        <w:tc>
          <w:tcPr>
            <w:tcW w:w="1836" w:type="dxa"/>
            <w:vAlign w:val="center"/>
          </w:tcPr>
          <w:p w:rsidR="00DA28B4" w:rsidRPr="00DB71D4" w:rsidRDefault="00DA28B4" w:rsidP="00465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</w:t>
            </w:r>
            <w:r w:rsidRPr="00DB71D4">
              <w:rPr>
                <w:b/>
                <w:lang w:eastAsia="en-US"/>
              </w:rPr>
              <w:t>epka ozimná,</w:t>
            </w:r>
          </w:p>
          <w:p w:rsidR="00DA28B4" w:rsidRPr="00DB71D4" w:rsidRDefault="00DA28B4" w:rsidP="00465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</w:t>
            </w:r>
            <w:r w:rsidRPr="00DB71D4">
              <w:rPr>
                <w:b/>
                <w:lang w:eastAsia="en-US"/>
              </w:rPr>
              <w:t>epka jarná</w:t>
            </w:r>
          </w:p>
        </w:tc>
        <w:tc>
          <w:tcPr>
            <w:tcW w:w="2429" w:type="dxa"/>
            <w:vAlign w:val="center"/>
          </w:tcPr>
          <w:p w:rsidR="00DA28B4" w:rsidRPr="00DB71D4" w:rsidRDefault="00DA28B4" w:rsidP="00465F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Pr="00DB71D4">
              <w:rPr>
                <w:lang w:eastAsia="en-US"/>
              </w:rPr>
              <w:t>ómová hniloba</w:t>
            </w:r>
            <w:r>
              <w:rPr>
                <w:lang w:eastAsia="en-US"/>
              </w:rPr>
              <w:t>,</w:t>
            </w:r>
            <w:r w:rsidRPr="00DB71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</w:t>
            </w:r>
            <w:r w:rsidRPr="00DB71D4">
              <w:rPr>
                <w:lang w:eastAsia="en-US"/>
              </w:rPr>
              <w:t>orforegulácia rastu</w:t>
            </w:r>
          </w:p>
        </w:tc>
        <w:tc>
          <w:tcPr>
            <w:tcW w:w="1515" w:type="dxa"/>
            <w:vAlign w:val="center"/>
          </w:tcPr>
          <w:p w:rsidR="00DA28B4" w:rsidRPr="00DB71D4" w:rsidRDefault="00DA28B4" w:rsidP="00465FD9">
            <w:pPr>
              <w:jc w:val="center"/>
              <w:rPr>
                <w:lang w:eastAsia="en-US"/>
              </w:rPr>
            </w:pPr>
            <w:r w:rsidRPr="00DB71D4">
              <w:rPr>
                <w:lang w:eastAsia="en-US"/>
              </w:rPr>
              <w:t>0,8 l</w:t>
            </w:r>
          </w:p>
        </w:tc>
        <w:tc>
          <w:tcPr>
            <w:tcW w:w="1326" w:type="dxa"/>
            <w:vAlign w:val="center"/>
          </w:tcPr>
          <w:p w:rsidR="00DA28B4" w:rsidRPr="00DB71D4" w:rsidRDefault="00DA28B4" w:rsidP="00465F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AT</w:t>
            </w:r>
          </w:p>
        </w:tc>
        <w:tc>
          <w:tcPr>
            <w:tcW w:w="2756" w:type="dxa"/>
          </w:tcPr>
          <w:p w:rsidR="00DA28B4" w:rsidRDefault="00B57F08" w:rsidP="00465F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 dávke </w:t>
            </w:r>
            <w:r w:rsidR="00802D20">
              <w:rPr>
                <w:lang w:eastAsia="en-US"/>
              </w:rPr>
              <w:t xml:space="preserve">2 x 0,8 l maximálne 1x </w:t>
            </w:r>
            <w:r w:rsidR="00CF240C">
              <w:rPr>
                <w:lang w:eastAsia="en-US"/>
              </w:rPr>
              <w:t xml:space="preserve">za </w:t>
            </w:r>
            <w:r w:rsidR="00802D20">
              <w:rPr>
                <w:lang w:eastAsia="en-US"/>
              </w:rPr>
              <w:t>3roky</w:t>
            </w:r>
          </w:p>
          <w:p w:rsidR="00802D20" w:rsidRPr="00DB71D4" w:rsidRDefault="00B57F08" w:rsidP="00465F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 dávke </w:t>
            </w:r>
            <w:r w:rsidR="00802D20">
              <w:rPr>
                <w:lang w:eastAsia="en-US"/>
              </w:rPr>
              <w:t>1x 0,8 l maximálne</w:t>
            </w:r>
            <w:r>
              <w:rPr>
                <w:lang w:eastAsia="en-US"/>
              </w:rPr>
              <w:t xml:space="preserve"> 1x za 2 roky</w:t>
            </w:r>
          </w:p>
        </w:tc>
      </w:tr>
      <w:tr w:rsidR="00DA28B4" w:rsidRPr="00DB71D4" w:rsidTr="00CF240C">
        <w:trPr>
          <w:jc w:val="center"/>
        </w:trPr>
        <w:tc>
          <w:tcPr>
            <w:tcW w:w="1836" w:type="dxa"/>
            <w:vAlign w:val="center"/>
          </w:tcPr>
          <w:p w:rsidR="00DA28B4" w:rsidRPr="00C42168" w:rsidDel="00166330" w:rsidRDefault="00DA28B4" w:rsidP="00465FD9">
            <w:pPr>
              <w:jc w:val="center"/>
              <w:rPr>
                <w:b/>
                <w:lang w:eastAsia="en-US"/>
              </w:rPr>
            </w:pPr>
            <w:r w:rsidRPr="00C42168">
              <w:rPr>
                <w:b/>
                <w:lang w:eastAsia="en-US"/>
              </w:rPr>
              <w:t>pšenica ozimná, pšenica jarná</w:t>
            </w:r>
          </w:p>
        </w:tc>
        <w:tc>
          <w:tcPr>
            <w:tcW w:w="2429" w:type="dxa"/>
            <w:vAlign w:val="center"/>
          </w:tcPr>
          <w:p w:rsidR="00DA28B4" w:rsidRPr="00C42168" w:rsidDel="00166330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 xml:space="preserve">fuzariózy, </w:t>
            </w:r>
            <w:r>
              <w:rPr>
                <w:lang w:eastAsia="en-US"/>
              </w:rPr>
              <w:t xml:space="preserve">helmintosporióza pšenice, </w:t>
            </w:r>
            <w:r w:rsidRPr="00C42168">
              <w:rPr>
                <w:lang w:eastAsia="en-US"/>
              </w:rPr>
              <w:t>septoriózy, hrdze</w:t>
            </w:r>
          </w:p>
        </w:tc>
        <w:tc>
          <w:tcPr>
            <w:tcW w:w="1515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1,0</w:t>
            </w:r>
            <w:r>
              <w:rPr>
                <w:lang w:eastAsia="en-US"/>
              </w:rPr>
              <w:t xml:space="preserve"> l </w:t>
            </w:r>
          </w:p>
        </w:tc>
        <w:tc>
          <w:tcPr>
            <w:tcW w:w="1326" w:type="dxa"/>
            <w:vAlign w:val="center"/>
          </w:tcPr>
          <w:p w:rsidR="00DA28B4" w:rsidRPr="00C42168" w:rsidDel="00A42E23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AT</w:t>
            </w:r>
          </w:p>
        </w:tc>
        <w:tc>
          <w:tcPr>
            <w:tcW w:w="2756" w:type="dxa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</w:p>
        </w:tc>
      </w:tr>
      <w:tr w:rsidR="00DA28B4" w:rsidRPr="00DB71D4" w:rsidTr="00CF240C">
        <w:trPr>
          <w:jc w:val="center"/>
        </w:trPr>
        <w:tc>
          <w:tcPr>
            <w:tcW w:w="1836" w:type="dxa"/>
            <w:vAlign w:val="center"/>
          </w:tcPr>
          <w:p w:rsidR="00DA28B4" w:rsidRDefault="00DA28B4" w:rsidP="00465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C42168">
              <w:rPr>
                <w:b/>
                <w:lang w:eastAsia="en-US"/>
              </w:rPr>
              <w:t>šenica</w:t>
            </w:r>
            <w:r>
              <w:rPr>
                <w:b/>
                <w:lang w:eastAsia="en-US"/>
              </w:rPr>
              <w:t xml:space="preserve"> tvrdá ozimná</w:t>
            </w:r>
            <w:r w:rsidR="005629EF">
              <w:rPr>
                <w:b/>
                <w:lang w:eastAsia="en-US"/>
              </w:rPr>
              <w:t>,</w:t>
            </w:r>
          </w:p>
          <w:p w:rsidR="00DA28B4" w:rsidRPr="00C42168" w:rsidRDefault="00DA28B4" w:rsidP="00465FD9">
            <w:pPr>
              <w:jc w:val="center"/>
              <w:rPr>
                <w:b/>
                <w:lang w:eastAsia="en-US"/>
              </w:rPr>
            </w:pPr>
            <w:r w:rsidRPr="00C42168">
              <w:rPr>
                <w:b/>
                <w:lang w:eastAsia="en-US"/>
              </w:rPr>
              <w:t>pšenica</w:t>
            </w:r>
            <w:r>
              <w:rPr>
                <w:b/>
                <w:lang w:eastAsia="en-US"/>
              </w:rPr>
              <w:t xml:space="preserve"> tvrdá</w:t>
            </w:r>
            <w:r w:rsidRPr="00C42168">
              <w:rPr>
                <w:b/>
                <w:lang w:eastAsia="en-US"/>
              </w:rPr>
              <w:t xml:space="preserve"> jarná</w:t>
            </w:r>
          </w:p>
        </w:tc>
        <w:tc>
          <w:tcPr>
            <w:tcW w:w="2429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 xml:space="preserve">fuzariózy, </w:t>
            </w:r>
            <w:r>
              <w:rPr>
                <w:lang w:eastAsia="en-US"/>
              </w:rPr>
              <w:t xml:space="preserve">helmintosporióza pšenice, </w:t>
            </w:r>
            <w:r w:rsidRPr="00C42168">
              <w:rPr>
                <w:lang w:eastAsia="en-US"/>
              </w:rPr>
              <w:t>septoriózy, hrdze</w:t>
            </w:r>
          </w:p>
        </w:tc>
        <w:tc>
          <w:tcPr>
            <w:tcW w:w="1515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1,0</w:t>
            </w:r>
            <w:r>
              <w:rPr>
                <w:lang w:eastAsia="en-US"/>
              </w:rPr>
              <w:t xml:space="preserve"> l </w:t>
            </w:r>
          </w:p>
        </w:tc>
        <w:tc>
          <w:tcPr>
            <w:tcW w:w="1326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AT</w:t>
            </w:r>
          </w:p>
        </w:tc>
        <w:tc>
          <w:tcPr>
            <w:tcW w:w="2756" w:type="dxa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</w:p>
        </w:tc>
      </w:tr>
      <w:tr w:rsidR="00DA28B4" w:rsidRPr="00DB71D4" w:rsidTr="00CF240C">
        <w:trPr>
          <w:jc w:val="center"/>
        </w:trPr>
        <w:tc>
          <w:tcPr>
            <w:tcW w:w="1836" w:type="dxa"/>
            <w:vAlign w:val="center"/>
          </w:tcPr>
          <w:p w:rsidR="00DA28B4" w:rsidRDefault="00DA28B4" w:rsidP="00465FD9">
            <w:pPr>
              <w:jc w:val="center"/>
              <w:rPr>
                <w:b/>
                <w:lang w:eastAsia="en-US"/>
              </w:rPr>
            </w:pPr>
            <w:r w:rsidRPr="00C42168">
              <w:rPr>
                <w:b/>
                <w:lang w:eastAsia="en-US"/>
              </w:rPr>
              <w:t>raž ozimná</w:t>
            </w:r>
            <w:r>
              <w:rPr>
                <w:b/>
                <w:lang w:eastAsia="en-US"/>
              </w:rPr>
              <w:t>,</w:t>
            </w:r>
          </w:p>
          <w:p w:rsidR="00DA28B4" w:rsidRPr="00C42168" w:rsidRDefault="00DA28B4" w:rsidP="00465F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raž jarná</w:t>
            </w:r>
          </w:p>
        </w:tc>
        <w:tc>
          <w:tcPr>
            <w:tcW w:w="2429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fuzariózy, septoriózy, hrdze</w:t>
            </w:r>
          </w:p>
        </w:tc>
        <w:tc>
          <w:tcPr>
            <w:tcW w:w="1515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1,0</w:t>
            </w:r>
            <w:r>
              <w:rPr>
                <w:lang w:eastAsia="en-US"/>
              </w:rPr>
              <w:t xml:space="preserve"> l</w:t>
            </w:r>
          </w:p>
        </w:tc>
        <w:tc>
          <w:tcPr>
            <w:tcW w:w="1326" w:type="dxa"/>
            <w:vAlign w:val="center"/>
          </w:tcPr>
          <w:p w:rsidR="00DA28B4" w:rsidRPr="00C42168" w:rsidDel="00A42E23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AT</w:t>
            </w:r>
          </w:p>
        </w:tc>
        <w:tc>
          <w:tcPr>
            <w:tcW w:w="2756" w:type="dxa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</w:p>
        </w:tc>
      </w:tr>
      <w:tr w:rsidR="00DA28B4" w:rsidRPr="00DB71D4" w:rsidTr="00CF240C">
        <w:trPr>
          <w:jc w:val="center"/>
        </w:trPr>
        <w:tc>
          <w:tcPr>
            <w:tcW w:w="1836" w:type="dxa"/>
            <w:vAlign w:val="center"/>
          </w:tcPr>
          <w:p w:rsidR="00DA28B4" w:rsidRPr="00C42168" w:rsidRDefault="00DA28B4" w:rsidP="00465FD9">
            <w:pPr>
              <w:jc w:val="center"/>
              <w:rPr>
                <w:b/>
                <w:lang w:eastAsia="en-US"/>
              </w:rPr>
            </w:pPr>
            <w:r w:rsidRPr="00C42168">
              <w:rPr>
                <w:b/>
                <w:lang w:eastAsia="en-US"/>
              </w:rPr>
              <w:t>tritikale</w:t>
            </w:r>
          </w:p>
        </w:tc>
        <w:tc>
          <w:tcPr>
            <w:tcW w:w="2429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fuzariózy, septoriózy, hrdze</w:t>
            </w:r>
          </w:p>
        </w:tc>
        <w:tc>
          <w:tcPr>
            <w:tcW w:w="1515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1,0</w:t>
            </w:r>
            <w:r>
              <w:rPr>
                <w:lang w:eastAsia="en-US"/>
              </w:rPr>
              <w:t xml:space="preserve"> l</w:t>
            </w:r>
          </w:p>
        </w:tc>
        <w:tc>
          <w:tcPr>
            <w:tcW w:w="1326" w:type="dxa"/>
            <w:vAlign w:val="center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  <w:r w:rsidRPr="00C42168">
              <w:rPr>
                <w:lang w:eastAsia="en-US"/>
              </w:rPr>
              <w:t>AT</w:t>
            </w:r>
          </w:p>
        </w:tc>
        <w:tc>
          <w:tcPr>
            <w:tcW w:w="2756" w:type="dxa"/>
          </w:tcPr>
          <w:p w:rsidR="00DA28B4" w:rsidRPr="00C42168" w:rsidRDefault="00DA28B4" w:rsidP="00465FD9">
            <w:pPr>
              <w:jc w:val="center"/>
              <w:rPr>
                <w:lang w:eastAsia="en-US"/>
              </w:rPr>
            </w:pPr>
          </w:p>
        </w:tc>
      </w:tr>
    </w:tbl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b/>
          <w:iCs/>
          <w:lang w:eastAsia="en-US"/>
        </w:rPr>
      </w:pPr>
      <w:r>
        <w:rPr>
          <w:b/>
          <w:iCs/>
          <w:lang w:eastAsia="en-US"/>
        </w:rPr>
        <w:t xml:space="preserve">POKYNY </w:t>
      </w:r>
      <w:r w:rsidRPr="00DB71D4">
        <w:rPr>
          <w:b/>
          <w:iCs/>
          <w:lang w:eastAsia="en-US"/>
        </w:rPr>
        <w:t>PRE APLIKÁCIU</w:t>
      </w:r>
    </w:p>
    <w:p w:rsidR="00DA28B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Repk</w:t>
      </w:r>
      <w:r>
        <w:rPr>
          <w:lang w:eastAsia="en-US"/>
        </w:rPr>
        <w:t>u ozimnú</w:t>
      </w:r>
      <w:r w:rsidRPr="00DB71D4">
        <w:rPr>
          <w:lang w:eastAsia="en-US"/>
        </w:rPr>
        <w:t xml:space="preserve"> pri jesennej aplikácií ošetruj</w:t>
      </w:r>
      <w:r>
        <w:rPr>
          <w:lang w:eastAsia="en-US"/>
        </w:rPr>
        <w:t>t</w:t>
      </w:r>
      <w:r w:rsidRPr="00DB71D4">
        <w:rPr>
          <w:lang w:eastAsia="en-US"/>
        </w:rPr>
        <w:t xml:space="preserve">e optimálne od </w:t>
      </w:r>
      <w:r>
        <w:rPr>
          <w:lang w:eastAsia="en-US"/>
        </w:rPr>
        <w:t xml:space="preserve">rastovej </w:t>
      </w:r>
      <w:r w:rsidRPr="00DB71D4">
        <w:rPr>
          <w:lang w:eastAsia="en-US"/>
        </w:rPr>
        <w:t xml:space="preserve"> fázy BBCH 14 (4. list vyvinutý) do </w:t>
      </w:r>
      <w:r>
        <w:rPr>
          <w:lang w:eastAsia="en-US"/>
        </w:rPr>
        <w:t>konca jesennej vegetácie</w:t>
      </w:r>
      <w:r w:rsidRPr="00DB71D4">
        <w:rPr>
          <w:lang w:eastAsia="en-US"/>
        </w:rPr>
        <w:t>, pri jarnej aplikácií  ošetruj</w:t>
      </w:r>
      <w:r>
        <w:rPr>
          <w:lang w:eastAsia="en-US"/>
        </w:rPr>
        <w:t>t</w:t>
      </w:r>
      <w:r w:rsidRPr="00DB71D4">
        <w:rPr>
          <w:lang w:eastAsia="en-US"/>
        </w:rPr>
        <w:t xml:space="preserve">e </w:t>
      </w:r>
      <w:r>
        <w:rPr>
          <w:lang w:eastAsia="en-US"/>
        </w:rPr>
        <w:t xml:space="preserve">repku jarnú a repku ozimnú </w:t>
      </w:r>
      <w:r w:rsidRPr="00DB71D4">
        <w:rPr>
          <w:lang w:eastAsia="en-US"/>
        </w:rPr>
        <w:t>od</w:t>
      </w:r>
      <w:r>
        <w:rPr>
          <w:lang w:eastAsia="en-US"/>
        </w:rPr>
        <w:t xml:space="preserve"> rastovej</w:t>
      </w:r>
      <w:r w:rsidRPr="00DB71D4">
        <w:rPr>
          <w:lang w:eastAsia="en-US"/>
        </w:rPr>
        <w:t xml:space="preserve"> fázy BBCH 31 (1. internódium viditeľné) do </w:t>
      </w:r>
      <w:r>
        <w:rPr>
          <w:lang w:eastAsia="en-US"/>
        </w:rPr>
        <w:t xml:space="preserve"> rastovej</w:t>
      </w:r>
      <w:r w:rsidRPr="00DB71D4">
        <w:rPr>
          <w:lang w:eastAsia="en-US"/>
        </w:rPr>
        <w:t xml:space="preserve"> fázy BBCH 59 (prvé korunné lupienky viditeľné, kvet</w:t>
      </w:r>
      <w:r>
        <w:rPr>
          <w:lang w:eastAsia="en-US"/>
        </w:rPr>
        <w:t xml:space="preserve">né pupene </w:t>
      </w:r>
      <w:r w:rsidRPr="00DB71D4">
        <w:rPr>
          <w:lang w:eastAsia="en-US"/>
        </w:rPr>
        <w:t xml:space="preserve">ešte stále </w:t>
      </w:r>
      <w:r>
        <w:rPr>
          <w:lang w:eastAsia="en-US"/>
        </w:rPr>
        <w:t>u</w:t>
      </w:r>
      <w:r w:rsidRPr="00DB71D4">
        <w:rPr>
          <w:lang w:eastAsia="en-US"/>
        </w:rPr>
        <w:t>zavreté). V priebehu sezóny  ošetruj</w:t>
      </w:r>
      <w:r>
        <w:rPr>
          <w:lang w:eastAsia="en-US"/>
        </w:rPr>
        <w:t>t</w:t>
      </w:r>
      <w:r w:rsidRPr="00DB71D4">
        <w:rPr>
          <w:lang w:eastAsia="en-US"/>
        </w:rPr>
        <w:t>e maximálne 2x (1x na jeseň, 1x na jar).</w:t>
      </w:r>
    </w:p>
    <w:p w:rsidR="00DA28B4" w:rsidRPr="00DB71D4" w:rsidRDefault="00DA28B4" w:rsidP="00DA28B4">
      <w:pPr>
        <w:jc w:val="both"/>
        <w:rPr>
          <w:lang w:eastAsia="en-US"/>
        </w:rPr>
      </w:pPr>
      <w:r>
        <w:rPr>
          <w:lang w:eastAsia="en-US"/>
        </w:rPr>
        <w:t xml:space="preserve">Pšenicu ozimnú, pšenicu jarnú, pšenicu tvrdú ozimnú, pšenicu tvrdú jarnú, raž ozimnú, raž jarnú a tritikale ošetrujte od rastovej fázy začiatku klasenia  (BBCH 51) do rastovej fázy konca kvitnutia (BBCH 69). </w:t>
      </w:r>
      <w:r w:rsidR="00346E3B" w:rsidRPr="00C031D1">
        <w:rPr>
          <w:lang w:eastAsia="cs-CZ"/>
        </w:rPr>
        <w:t>Proti fuzariózam klasov ošetrujte od fázy začiatku kvitnutia (BBCH 61) do fázy konca kvitnutia (BBCH 69).</w:t>
      </w:r>
      <w:r w:rsidR="00346E3B">
        <w:rPr>
          <w:lang w:eastAsia="cs-CZ"/>
        </w:rPr>
        <w:t xml:space="preserve"> </w:t>
      </w:r>
      <w:r>
        <w:rPr>
          <w:lang w:eastAsia="en-US"/>
        </w:rPr>
        <w:t>V priebehu sezóny ošetrujte maximálne 1x.</w:t>
      </w:r>
      <w:r w:rsidR="00346E3B">
        <w:rPr>
          <w:lang w:eastAsia="en-US"/>
        </w:rPr>
        <w:t xml:space="preserve"> </w:t>
      </w:r>
    </w:p>
    <w:p w:rsidR="00DA28B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Optimálna dávka vody je 100-</w:t>
      </w:r>
      <w:smartTag w:uri="urn:schemas-microsoft-com:office:smarttags" w:element="metricconverter">
        <w:smartTagPr>
          <w:attr w:name="ProductID" w:val="400 l"/>
        </w:smartTagPr>
        <w:r w:rsidRPr="00DB71D4">
          <w:rPr>
            <w:lang w:eastAsia="en-US"/>
          </w:rPr>
          <w:t>400 l</w:t>
        </w:r>
      </w:smartTag>
      <w:r w:rsidRPr="00DB71D4">
        <w:rPr>
          <w:lang w:eastAsia="en-US"/>
        </w:rPr>
        <w:t>.ha</w:t>
      </w:r>
      <w:r w:rsidRPr="00DB71D4">
        <w:rPr>
          <w:vertAlign w:val="superscript"/>
          <w:lang w:eastAsia="en-US"/>
        </w:rPr>
        <w:t>-1</w:t>
      </w:r>
      <w:r w:rsidRPr="00DB71D4">
        <w:rPr>
          <w:lang w:eastAsia="en-US"/>
        </w:rPr>
        <w:t>.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b/>
          <w:bCs/>
          <w:lang w:eastAsia="en-US"/>
        </w:rPr>
      </w:pPr>
      <w:r w:rsidRPr="00DB71D4">
        <w:rPr>
          <w:b/>
          <w:lang w:eastAsia="en-US"/>
        </w:rPr>
        <w:t>INFORMÁCIE O MOŽNEJ FYTOTOXICITE, ODRODOVEJ CITLIVOSTI A VŠETKÝCH ĎALŠÍCH PRIAMYCH A NEPRIAMYCH NEPRIAZNIVÝCH ÚČINKOCH NA RAST</w:t>
      </w:r>
      <w:r>
        <w:rPr>
          <w:b/>
          <w:lang w:eastAsia="en-US"/>
        </w:rPr>
        <w:t>LINY ALEBO RASTLINNÉ PRODUKTY</w:t>
      </w:r>
    </w:p>
    <w:p w:rsidR="00DA28B4" w:rsidRDefault="00DA28B4" w:rsidP="00DA28B4">
      <w:pPr>
        <w:jc w:val="both"/>
        <w:rPr>
          <w:iCs/>
          <w:lang w:eastAsia="en-US"/>
        </w:rPr>
      </w:pPr>
      <w:r w:rsidRPr="00DB71D4">
        <w:rPr>
          <w:iCs/>
          <w:lang w:eastAsia="en-US"/>
        </w:rPr>
        <w:t>Ak je prípravok aplikovaný v súlade s etiketou a návodom na použitie je tolerantný k ošetrovanej plodine.</w:t>
      </w:r>
    </w:p>
    <w:p w:rsidR="00DA28B4" w:rsidRPr="00EF6BEE" w:rsidRDefault="00DA28B4" w:rsidP="00DA28B4">
      <w:pPr>
        <w:jc w:val="both"/>
        <w:rPr>
          <w:iCs/>
          <w:lang w:eastAsia="en-US"/>
        </w:rPr>
      </w:pPr>
    </w:p>
    <w:p w:rsidR="00DA28B4" w:rsidRPr="00DB71D4" w:rsidRDefault="00DA28B4" w:rsidP="00DA28B4">
      <w:pPr>
        <w:keepNext/>
        <w:jc w:val="both"/>
        <w:outlineLvl w:val="1"/>
        <w:rPr>
          <w:b/>
          <w:iCs/>
          <w:lang w:eastAsia="en-US"/>
        </w:rPr>
      </w:pPr>
      <w:r w:rsidRPr="00DB71D4">
        <w:rPr>
          <w:b/>
          <w:iCs/>
          <w:lang w:eastAsia="en-US"/>
        </w:rPr>
        <w:t>PRÍPRAVA POSTREKOVEJ KVAPALINY</w:t>
      </w:r>
      <w:r>
        <w:rPr>
          <w:b/>
          <w:iCs/>
          <w:lang w:eastAsia="en-US"/>
        </w:rPr>
        <w:t xml:space="preserve"> A ZNEŠKODNENIE OBALOV</w:t>
      </w:r>
    </w:p>
    <w:p w:rsidR="00DA28B4" w:rsidRPr="00C42168" w:rsidRDefault="00DA28B4" w:rsidP="00DA28B4">
      <w:pPr>
        <w:widowControl w:val="0"/>
        <w:autoSpaceDE w:val="0"/>
        <w:autoSpaceDN w:val="0"/>
        <w:jc w:val="both"/>
        <w:rPr>
          <w:lang w:eastAsia="cs-CZ"/>
        </w:rPr>
      </w:pPr>
      <w:r w:rsidRPr="00C42168">
        <w:rPr>
          <w:lang w:eastAsia="cs-CZ"/>
        </w:rPr>
        <w:t>Odmerané množstvo prípravku vlejte do nádrže postrekovača naplnenej do polovice vodou a za stáleho miešania doplňte na požadovaný objem.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Pripravte len také množstvo postrekovej kvapaliny, ktoré spotrebujete.</w:t>
      </w:r>
    </w:p>
    <w:p w:rsidR="00DA28B4" w:rsidRPr="00C42168" w:rsidRDefault="00DA28B4" w:rsidP="00DA28B4">
      <w:pPr>
        <w:widowControl w:val="0"/>
        <w:autoSpaceDE w:val="0"/>
        <w:autoSpaceDN w:val="0"/>
        <w:jc w:val="both"/>
        <w:rPr>
          <w:lang w:eastAsia="cs-CZ"/>
        </w:rPr>
      </w:pPr>
      <w:r w:rsidRPr="00C42168">
        <w:rPr>
          <w:lang w:eastAsia="cs-CZ"/>
        </w:rPr>
        <w:lastRenderedPageBreak/>
        <w:t>Zákaz opätovného použitia obalu alebo jeho použitia na iné účely!</w:t>
      </w:r>
    </w:p>
    <w:p w:rsidR="00DA28B4" w:rsidRPr="00DB71D4" w:rsidRDefault="00DA28B4" w:rsidP="00DA28B4">
      <w:pPr>
        <w:jc w:val="both"/>
        <w:rPr>
          <w:b/>
          <w:lang w:eastAsia="en-US"/>
        </w:rPr>
      </w:pPr>
    </w:p>
    <w:p w:rsidR="00DA28B4" w:rsidRPr="00DB71D4" w:rsidRDefault="00DA28B4" w:rsidP="00DA28B4">
      <w:pPr>
        <w:jc w:val="both"/>
        <w:rPr>
          <w:b/>
          <w:lang w:eastAsia="en-US"/>
        </w:rPr>
      </w:pPr>
      <w:r w:rsidRPr="00DB71D4">
        <w:rPr>
          <w:b/>
          <w:lang w:eastAsia="en-US"/>
        </w:rPr>
        <w:t>ČISTENIE APLIKAČNÉHO ZARIADENIA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Po skončení aplikácie prípravku vyprázdni</w:t>
      </w:r>
      <w:r>
        <w:rPr>
          <w:lang w:eastAsia="en-US"/>
        </w:rPr>
        <w:t>te</w:t>
      </w:r>
      <w:r w:rsidRPr="00DB71D4">
        <w:rPr>
          <w:lang w:eastAsia="en-US"/>
        </w:rPr>
        <w:t xml:space="preserve"> nádrž postrekovacieho zariadenia a celé zariadenie vypláchn</w:t>
      </w:r>
      <w:r>
        <w:rPr>
          <w:lang w:eastAsia="en-US"/>
        </w:rPr>
        <w:t>ite</w:t>
      </w:r>
      <w:r w:rsidRPr="00DB71D4">
        <w:rPr>
          <w:lang w:eastAsia="en-US"/>
        </w:rPr>
        <w:t xml:space="preserve"> čistou vodou. Zvyšky aplikačnej kvapaliny ja zakázané vylievať v blízkosti vodných zdrojov, podzemných vôd a recipientov povrchových vôd.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snapToGrid w:val="0"/>
          <w:lang w:eastAsia="cs-CZ"/>
        </w:rPr>
        <w:t>Použité aplikačné zariadenie a ochranné pracovné prostriedky asanujte 3% roztokom uhličitanu sodného (sódy) a umyte vodou.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b/>
          <w:bCs/>
          <w:lang w:eastAsia="en-US"/>
        </w:rPr>
      </w:pPr>
      <w:r w:rsidRPr="00DB71D4">
        <w:rPr>
          <w:b/>
          <w:bCs/>
          <w:lang w:eastAsia="en-US"/>
        </w:rPr>
        <w:t>BEZPEČNOSTNÉ OPATRENIA</w:t>
      </w:r>
    </w:p>
    <w:p w:rsidR="00DA28B4" w:rsidRPr="00DB71D4" w:rsidRDefault="00DA28B4" w:rsidP="00DA28B4">
      <w:pPr>
        <w:tabs>
          <w:tab w:val="left" w:pos="1135"/>
          <w:tab w:val="left" w:pos="3402"/>
        </w:tabs>
        <w:ind w:right="-19"/>
        <w:jc w:val="both"/>
        <w:rPr>
          <w:lang w:eastAsia="en-US"/>
        </w:rPr>
      </w:pPr>
      <w:r w:rsidRPr="00DB71D4">
        <w:rPr>
          <w:lang w:eastAsia="en-US"/>
        </w:rPr>
        <w:t>Pri práci s prípravkom používajte ochranný pracovný oblek, ochranný štít na tvár, resp. ochranné okuliare, respirátor proti výparom, zásteru z pogumovaného textilu, rukavice odolné voči chemikáliám, gum</w:t>
      </w:r>
      <w:r>
        <w:rPr>
          <w:lang w:eastAsia="en-US"/>
        </w:rPr>
        <w:t xml:space="preserve">ené </w:t>
      </w:r>
      <w:r w:rsidRPr="00DB71D4">
        <w:rPr>
          <w:lang w:eastAsia="en-US"/>
        </w:rPr>
        <w:t xml:space="preserve"> topánky, prípadne iné komerčne dostupné schválené ekvivalenty uvedenej typovej ochrany. Pri riedení prípravku používajte zásteru z pogumovaného materiálu.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Postrek vykon</w:t>
      </w:r>
      <w:r>
        <w:rPr>
          <w:lang w:eastAsia="en-US"/>
        </w:rPr>
        <w:t xml:space="preserve">ajte </w:t>
      </w:r>
      <w:r w:rsidRPr="00DB71D4">
        <w:rPr>
          <w:lang w:eastAsia="en-US"/>
        </w:rPr>
        <w:t xml:space="preserve"> len za bezvetria alebo mierneho vánku a to v smere po vetre od pracujúcich. Postrek nesmie zasiahnuť susedné kultúry !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 xml:space="preserve">Pri práci a po nej až do vyzlečenia ochranného odevu a dôkladného umytia celého tela mydlom a teplou vodou </w:t>
      </w:r>
      <w:r>
        <w:rPr>
          <w:lang w:eastAsia="en-US"/>
        </w:rPr>
        <w:t xml:space="preserve"> ne</w:t>
      </w:r>
      <w:r w:rsidRPr="00DB71D4">
        <w:rPr>
          <w:lang w:eastAsia="en-US"/>
        </w:rPr>
        <w:t>je</w:t>
      </w:r>
      <w:r>
        <w:rPr>
          <w:lang w:eastAsia="en-US"/>
        </w:rPr>
        <w:t>dzte</w:t>
      </w:r>
      <w:r w:rsidRPr="00DB71D4">
        <w:rPr>
          <w:lang w:eastAsia="en-US"/>
        </w:rPr>
        <w:t xml:space="preserve">, </w:t>
      </w:r>
      <w:r>
        <w:rPr>
          <w:lang w:eastAsia="en-US"/>
        </w:rPr>
        <w:t>ne</w:t>
      </w:r>
      <w:r w:rsidRPr="00DB71D4">
        <w:rPr>
          <w:lang w:eastAsia="en-US"/>
        </w:rPr>
        <w:t>pi</w:t>
      </w:r>
      <w:r>
        <w:rPr>
          <w:lang w:eastAsia="en-US"/>
        </w:rPr>
        <w:t>te</w:t>
      </w:r>
      <w:r w:rsidRPr="00DB71D4">
        <w:rPr>
          <w:lang w:eastAsia="en-US"/>
        </w:rPr>
        <w:t xml:space="preserve"> </w:t>
      </w:r>
      <w:r>
        <w:rPr>
          <w:lang w:eastAsia="en-US"/>
        </w:rPr>
        <w:t xml:space="preserve">a </w:t>
      </w:r>
      <w:r w:rsidRPr="00DB71D4">
        <w:rPr>
          <w:lang w:eastAsia="en-US"/>
        </w:rPr>
        <w:t xml:space="preserve">ani </w:t>
      </w:r>
      <w:r>
        <w:rPr>
          <w:lang w:eastAsia="en-US"/>
        </w:rPr>
        <w:t>ne</w:t>
      </w:r>
      <w:r w:rsidRPr="00DB71D4">
        <w:rPr>
          <w:lang w:eastAsia="en-US"/>
        </w:rPr>
        <w:t>fajči</w:t>
      </w:r>
      <w:r>
        <w:rPr>
          <w:lang w:eastAsia="en-US"/>
        </w:rPr>
        <w:t xml:space="preserve">te </w:t>
      </w:r>
      <w:r w:rsidRPr="00DB71D4">
        <w:rPr>
          <w:lang w:eastAsia="en-US"/>
        </w:rPr>
        <w:t xml:space="preserve"> !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Prípravok obsahuje ako rozpúšťadlo vodu - nie je horľavou kvapalinou. S vodou sa mieša v každom pomere. Ak sa prípravok dostane do centra požiaru, zabezpečte aby kontaminovaná voda z miesta požiaru neprenikla do okolia - najmä aby neprenikla do verejnej kanalizácie, zdrojov podzemných vôd a recipientov povrchových vôd a nezasiahla poľnohospodársku pôdu.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b/>
          <w:lang w:eastAsia="en-US"/>
        </w:rPr>
        <w:t>Dôležité upozornenie:</w:t>
      </w:r>
      <w:r w:rsidRPr="00DB71D4">
        <w:rPr>
          <w:lang w:eastAsia="en-US"/>
        </w:rPr>
        <w:t xml:space="preserve"> pri protipožiarnom zásahu použite izolačné dýchacie prístroje, lebo pri horení môže dochádzať ku vzniku toxických splodín.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keepNext/>
        <w:jc w:val="both"/>
        <w:outlineLvl w:val="1"/>
        <w:rPr>
          <w:b/>
          <w:iCs/>
          <w:lang w:eastAsia="en-US"/>
        </w:rPr>
      </w:pPr>
      <w:r w:rsidRPr="00DB71D4">
        <w:rPr>
          <w:b/>
          <w:iCs/>
          <w:lang w:eastAsia="en-US"/>
        </w:rPr>
        <w:t>PRVÁ POMOC</w:t>
      </w:r>
    </w:p>
    <w:tbl>
      <w:tblPr>
        <w:tblW w:w="9755" w:type="dxa"/>
        <w:tblLook w:val="01E0" w:firstRow="1" w:lastRow="1" w:firstColumn="1" w:lastColumn="1" w:noHBand="0" w:noVBand="0"/>
      </w:tblPr>
      <w:tblGrid>
        <w:gridCol w:w="2808"/>
        <w:gridCol w:w="6947"/>
      </w:tblGrid>
      <w:tr w:rsidR="00DA28B4" w:rsidRPr="00DB71D4" w:rsidTr="00465FD9">
        <w:trPr>
          <w:trHeight w:val="254"/>
        </w:trPr>
        <w:tc>
          <w:tcPr>
            <w:tcW w:w="2808" w:type="dxa"/>
          </w:tcPr>
          <w:p w:rsidR="00DA28B4" w:rsidRPr="00DB71D4" w:rsidRDefault="00DA28B4" w:rsidP="00465FD9">
            <w:pPr>
              <w:rPr>
                <w:b/>
                <w:snapToGrid w:val="0"/>
              </w:rPr>
            </w:pPr>
            <w:r w:rsidRPr="00DB71D4">
              <w:rPr>
                <w:b/>
                <w:snapToGrid w:val="0"/>
              </w:rPr>
              <w:t>Všeobecné odporučenia:</w:t>
            </w:r>
          </w:p>
        </w:tc>
        <w:tc>
          <w:tcPr>
            <w:tcW w:w="6947" w:type="dxa"/>
          </w:tcPr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 xml:space="preserve">Keď voláte na telefónne číslo tiesňového volania spoločnosti Syngenta, </w:t>
            </w:r>
            <w:r>
              <w:rPr>
                <w:snapToGrid w:val="0"/>
              </w:rPr>
              <w:t xml:space="preserve">Národné </w:t>
            </w:r>
            <w:r w:rsidRPr="00DB71D4">
              <w:rPr>
                <w:snapToGrid w:val="0"/>
              </w:rPr>
              <w:t xml:space="preserve">toxikologické </w:t>
            </w:r>
            <w:r>
              <w:rPr>
                <w:snapToGrid w:val="0"/>
              </w:rPr>
              <w:t>informačné</w:t>
            </w:r>
            <w:r w:rsidRPr="00DB71D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centrum </w:t>
            </w:r>
            <w:r w:rsidRPr="00DB71D4">
              <w:rPr>
                <w:snapToGrid w:val="0"/>
              </w:rPr>
              <w:t xml:space="preserve"> alebo idete na lekárske ošetrenie, majte so sebou etiketu alebo kartu bezpečnostných údajov tohto prípravku.</w:t>
            </w:r>
          </w:p>
        </w:tc>
      </w:tr>
      <w:tr w:rsidR="00DA28B4" w:rsidRPr="00DB71D4" w:rsidTr="00465FD9">
        <w:trPr>
          <w:trHeight w:val="254"/>
        </w:trPr>
        <w:tc>
          <w:tcPr>
            <w:tcW w:w="2808" w:type="dxa"/>
          </w:tcPr>
          <w:p w:rsidR="00DA28B4" w:rsidRPr="00DB71D4" w:rsidRDefault="00DA28B4" w:rsidP="00465FD9">
            <w:pPr>
              <w:rPr>
                <w:b/>
                <w:snapToGrid w:val="0"/>
              </w:rPr>
            </w:pPr>
            <w:r w:rsidRPr="00DB71D4">
              <w:rPr>
                <w:b/>
                <w:snapToGrid w:val="0"/>
              </w:rPr>
              <w:t>Po vdýchnutí:</w:t>
            </w:r>
          </w:p>
        </w:tc>
        <w:tc>
          <w:tcPr>
            <w:tcW w:w="6947" w:type="dxa"/>
          </w:tcPr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Vyveďte postihnutého na čerstvý vzduch.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Ak postihnutý dýcha nepravidelne alebo nedýcha vôbec, začnite s umelým dýchaním.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Postihnutého udržiavajte v teple a</w:t>
            </w:r>
            <w:r>
              <w:rPr>
                <w:snapToGrid w:val="0"/>
              </w:rPr>
              <w:t xml:space="preserve"> v pokoji </w:t>
            </w:r>
            <w:r w:rsidRPr="00DB71D4">
              <w:rPr>
                <w:snapToGrid w:val="0"/>
              </w:rPr>
              <w:t>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 xml:space="preserve">Ihneď volajte lekára alebo </w:t>
            </w:r>
            <w:r>
              <w:rPr>
                <w:snapToGrid w:val="0"/>
              </w:rPr>
              <w:t>Národné</w:t>
            </w:r>
            <w:r w:rsidRPr="00DB71D4">
              <w:rPr>
                <w:snapToGrid w:val="0"/>
              </w:rPr>
              <w:t xml:space="preserve"> toxikologické </w:t>
            </w:r>
            <w:r>
              <w:rPr>
                <w:snapToGrid w:val="0"/>
              </w:rPr>
              <w:t>informačné</w:t>
            </w:r>
            <w:r w:rsidRPr="00DB71D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centrum </w:t>
            </w:r>
            <w:r w:rsidRPr="00DB71D4">
              <w:rPr>
                <w:snapToGrid w:val="0"/>
              </w:rPr>
              <w:t>.</w:t>
            </w:r>
          </w:p>
        </w:tc>
      </w:tr>
      <w:tr w:rsidR="00DA28B4" w:rsidRPr="00DB71D4" w:rsidTr="00465FD9">
        <w:trPr>
          <w:trHeight w:val="254"/>
        </w:trPr>
        <w:tc>
          <w:tcPr>
            <w:tcW w:w="2808" w:type="dxa"/>
          </w:tcPr>
          <w:p w:rsidR="00DA28B4" w:rsidRPr="00DB71D4" w:rsidRDefault="00DA28B4" w:rsidP="00465FD9">
            <w:pPr>
              <w:rPr>
                <w:b/>
                <w:snapToGrid w:val="0"/>
              </w:rPr>
            </w:pPr>
            <w:r w:rsidRPr="00DB71D4">
              <w:rPr>
                <w:b/>
                <w:snapToGrid w:val="0"/>
              </w:rPr>
              <w:t>Po zasiahnutí pokožky:</w:t>
            </w:r>
          </w:p>
        </w:tc>
        <w:tc>
          <w:tcPr>
            <w:tcW w:w="6947" w:type="dxa"/>
          </w:tcPr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Ihneď postihnutého vyzlečte zo zasiahnutého odevu.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Zasiahnuté miesto umyte veľkým množstvom vody.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Ak podráždenie pokožky pretrváva, vyhľadajte lekára.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Znečistený odev pred opätovným použitím vyperte.</w:t>
            </w:r>
          </w:p>
        </w:tc>
      </w:tr>
      <w:tr w:rsidR="00DA28B4" w:rsidRPr="00DB71D4" w:rsidTr="00465FD9">
        <w:trPr>
          <w:trHeight w:val="254"/>
        </w:trPr>
        <w:tc>
          <w:tcPr>
            <w:tcW w:w="2808" w:type="dxa"/>
          </w:tcPr>
          <w:p w:rsidR="00DA28B4" w:rsidRPr="00DB71D4" w:rsidRDefault="00DA28B4" w:rsidP="00465FD9">
            <w:pPr>
              <w:rPr>
                <w:b/>
                <w:snapToGrid w:val="0"/>
              </w:rPr>
            </w:pPr>
            <w:r w:rsidRPr="00DB71D4">
              <w:rPr>
                <w:b/>
                <w:snapToGrid w:val="0"/>
              </w:rPr>
              <w:t>Po zasiahnutí očí:</w:t>
            </w:r>
          </w:p>
        </w:tc>
        <w:tc>
          <w:tcPr>
            <w:tcW w:w="6947" w:type="dxa"/>
          </w:tcPr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Oči, vrátane pod viečkami vyplachujte veľkým množstvom vody po dobu najmenej 15 minút.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Vyberte kontaktné šošovky.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Ihneď vyhľadajte lekárske ošetrenie.</w:t>
            </w:r>
          </w:p>
        </w:tc>
      </w:tr>
      <w:tr w:rsidR="00DA28B4" w:rsidRPr="00DB71D4" w:rsidTr="00465FD9">
        <w:trPr>
          <w:trHeight w:val="254"/>
        </w:trPr>
        <w:tc>
          <w:tcPr>
            <w:tcW w:w="2808" w:type="dxa"/>
          </w:tcPr>
          <w:p w:rsidR="00DA28B4" w:rsidRPr="00DB71D4" w:rsidRDefault="00DA28B4" w:rsidP="00465FD9">
            <w:pPr>
              <w:rPr>
                <w:b/>
                <w:snapToGrid w:val="0"/>
              </w:rPr>
            </w:pPr>
            <w:r w:rsidRPr="00DB71D4">
              <w:rPr>
                <w:b/>
                <w:snapToGrid w:val="0"/>
              </w:rPr>
              <w:t>Po požití:</w:t>
            </w:r>
          </w:p>
        </w:tc>
        <w:tc>
          <w:tcPr>
            <w:tcW w:w="6947" w:type="dxa"/>
          </w:tcPr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Po požití prípravku ihneď vyhľadajte lekárske ošetrenie a lekárovi ukážte t</w:t>
            </w:r>
            <w:r>
              <w:rPr>
                <w:snapToGrid w:val="0"/>
              </w:rPr>
              <w:t xml:space="preserve">úto </w:t>
            </w:r>
            <w:r w:rsidRPr="00DB71D4">
              <w:rPr>
                <w:snapToGrid w:val="0"/>
              </w:rPr>
              <w:t>etiketu.</w:t>
            </w:r>
          </w:p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Nevyvolávajte zvracanie</w:t>
            </w:r>
          </w:p>
        </w:tc>
      </w:tr>
      <w:tr w:rsidR="00DA28B4" w:rsidRPr="00DB71D4" w:rsidTr="00465FD9">
        <w:trPr>
          <w:trHeight w:val="254"/>
        </w:trPr>
        <w:tc>
          <w:tcPr>
            <w:tcW w:w="2808" w:type="dxa"/>
          </w:tcPr>
          <w:p w:rsidR="00DA28B4" w:rsidRPr="00DB71D4" w:rsidRDefault="00DA28B4" w:rsidP="00465FD9">
            <w:pPr>
              <w:rPr>
                <w:b/>
                <w:snapToGrid w:val="0"/>
              </w:rPr>
            </w:pPr>
            <w:r w:rsidRPr="00DB71D4">
              <w:rPr>
                <w:b/>
                <w:bCs/>
                <w:snapToGrid w:val="0"/>
              </w:rPr>
              <w:t>Pokyny pre ošetrujúceho lekára</w:t>
            </w:r>
            <w:r w:rsidRPr="00DB71D4">
              <w:rPr>
                <w:b/>
                <w:snapToGrid w:val="0"/>
              </w:rPr>
              <w:t>:</w:t>
            </w:r>
          </w:p>
        </w:tc>
        <w:tc>
          <w:tcPr>
            <w:tcW w:w="6947" w:type="dxa"/>
          </w:tcPr>
          <w:p w:rsidR="00DA28B4" w:rsidRPr="00DB71D4" w:rsidRDefault="00DA28B4" w:rsidP="00465FD9">
            <w:pPr>
              <w:jc w:val="both"/>
              <w:rPr>
                <w:snapToGrid w:val="0"/>
              </w:rPr>
            </w:pPr>
            <w:r w:rsidRPr="00DB71D4">
              <w:rPr>
                <w:snapToGrid w:val="0"/>
              </w:rPr>
              <w:t>Špecifická protilátka nie je dostupná. Ošetrujte podľa príznakov.</w:t>
            </w:r>
          </w:p>
        </w:tc>
      </w:tr>
    </w:tbl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lastRenderedPageBreak/>
        <w:t xml:space="preserve">Vo všetkých prípadoch otravy alebo podozrenia z nej zabezpečte postihnutému okamžité lekárske ošetrenie. Lekára informujte o prípravku, s ktorým </w:t>
      </w:r>
      <w:r>
        <w:rPr>
          <w:lang w:eastAsia="en-US"/>
        </w:rPr>
        <w:t xml:space="preserve">postihnutý </w:t>
      </w:r>
      <w:r w:rsidRPr="00DB71D4">
        <w:rPr>
          <w:lang w:eastAsia="en-US"/>
        </w:rPr>
        <w:t>pracoval a o poskytnutej prvej pomoci.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 xml:space="preserve">V prípade potreby môže lekár liečbu konzultovať s Národným toxikologickým informačným centrom Bratislava, tel.: </w:t>
      </w:r>
      <w:r w:rsidR="00C21D2A">
        <w:rPr>
          <w:lang w:eastAsia="en-US"/>
        </w:rPr>
        <w:t>+421/</w:t>
      </w:r>
      <w:bookmarkStart w:id="0" w:name="_GoBack"/>
      <w:bookmarkEnd w:id="0"/>
      <w:r w:rsidRPr="00DB71D4">
        <w:rPr>
          <w:lang w:eastAsia="en-US"/>
        </w:rPr>
        <w:t>2/54 774 166.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DB71D4">
        <w:rPr>
          <w:rFonts w:eastAsia="SimSun"/>
          <w:b/>
          <w:lang w:eastAsia="zh-CN"/>
        </w:rPr>
        <w:t>V prípade nebezpečenstva volajte:</w:t>
      </w:r>
      <w:r w:rsidRPr="00DB71D4">
        <w:rPr>
          <w:rFonts w:eastAsia="SimSun"/>
          <w:lang w:eastAsia="zh-CN"/>
        </w:rPr>
        <w:t xml:space="preserve"> </w:t>
      </w:r>
    </w:p>
    <w:p w:rsidR="00DA28B4" w:rsidRPr="00DB71D4" w:rsidRDefault="00DA28B4" w:rsidP="00DA28B4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DB71D4">
        <w:rPr>
          <w:rFonts w:eastAsia="SimSun"/>
          <w:lang w:eastAsia="zh-CN"/>
        </w:rPr>
        <w:t xml:space="preserve">SGS +421 905 585 938, alebo Syngenta Alarm Centre, Huddersfield, U.K., tel.: +44 1484 538 444, fax: +44 1484 55 4093. 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keepNext/>
        <w:jc w:val="both"/>
        <w:outlineLvl w:val="1"/>
        <w:rPr>
          <w:b/>
          <w:iCs/>
          <w:lang w:eastAsia="en-US"/>
        </w:rPr>
      </w:pPr>
      <w:r w:rsidRPr="00DB71D4">
        <w:rPr>
          <w:b/>
          <w:iCs/>
          <w:lang w:eastAsia="en-US"/>
        </w:rPr>
        <w:t>SKLADOVANIE</w:t>
      </w:r>
    </w:p>
    <w:p w:rsidR="00DA28B4" w:rsidRPr="00DB71D4" w:rsidRDefault="00DA28B4" w:rsidP="00DA28B4">
      <w:pPr>
        <w:jc w:val="both"/>
        <w:rPr>
          <w:lang w:eastAsia="en-US"/>
        </w:rPr>
      </w:pPr>
      <w:r w:rsidRPr="00DB71D4">
        <w:rPr>
          <w:lang w:eastAsia="en-US"/>
        </w:rPr>
        <w:t>Prípravok skladujte v uzatvorených, originálnych obaloch, v uzamknutých, suchých, hygienicky čistých a dobre vetrateľných skladoch pri teplote +</w:t>
      </w:r>
      <w:smartTag w:uri="urn:schemas-microsoft-com:office:smarttags" w:element="metricconverter">
        <w:smartTagPr>
          <w:attr w:name="ProductID" w:val="5ﾰC"/>
        </w:smartTagPr>
        <w:r w:rsidRPr="00DB71D4">
          <w:rPr>
            <w:lang w:eastAsia="en-US"/>
          </w:rPr>
          <w:t>5°C</w:t>
        </w:r>
      </w:smartTag>
      <w:r w:rsidRPr="00DB71D4">
        <w:rPr>
          <w:lang w:eastAsia="en-US"/>
        </w:rPr>
        <w:t xml:space="preserve"> až +</w:t>
      </w:r>
      <w:smartTag w:uri="urn:schemas-microsoft-com:office:smarttags" w:element="metricconverter">
        <w:smartTagPr>
          <w:attr w:name="ProductID" w:val="30ﾰC"/>
        </w:smartTagPr>
        <w:r w:rsidRPr="00DB71D4">
          <w:rPr>
            <w:lang w:eastAsia="en-US"/>
          </w:rPr>
          <w:t>30°C</w:t>
        </w:r>
      </w:smartTag>
      <w:r w:rsidRPr="00DB71D4">
        <w:rPr>
          <w:lang w:eastAsia="en-US"/>
        </w:rPr>
        <w:t>, oddelene od potravín, nápojov, liekov, krmív, hnojív, dezinfekčných prostriedkov, horľavín a obalov od týchto látok. Pri správnom skladovaní v pôvodných neporušených obaloch je doba použiteľnosti prípravku 2 roky od dátumu výroby.</w:t>
      </w:r>
    </w:p>
    <w:p w:rsidR="00DA28B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keepNext/>
        <w:jc w:val="both"/>
        <w:outlineLvl w:val="1"/>
        <w:rPr>
          <w:b/>
          <w:iCs/>
          <w:lang w:eastAsia="en-US"/>
        </w:rPr>
      </w:pPr>
      <w:r w:rsidRPr="00DB71D4">
        <w:rPr>
          <w:b/>
          <w:iCs/>
          <w:lang w:eastAsia="en-US"/>
        </w:rPr>
        <w:t>ZNEŠKODNENIE ZVYŠKOV</w:t>
      </w:r>
    </w:p>
    <w:p w:rsidR="00DA28B4" w:rsidRPr="0015098C" w:rsidRDefault="00DA28B4" w:rsidP="00DA28B4">
      <w:pPr>
        <w:widowControl w:val="0"/>
        <w:autoSpaceDE w:val="0"/>
        <w:autoSpaceDN w:val="0"/>
        <w:rPr>
          <w:sz w:val="20"/>
          <w:szCs w:val="20"/>
          <w:lang w:eastAsia="cs-CZ"/>
        </w:rPr>
      </w:pPr>
      <w:r w:rsidRPr="0015098C">
        <w:rPr>
          <w:lang w:eastAsia="cs-CZ"/>
        </w:rPr>
        <w:t xml:space="preserve">Nepoužité zvyšky prípravku v pôvodnom obale zneškodnite ako nebezpečný odpad. </w:t>
      </w:r>
    </w:p>
    <w:p w:rsidR="00DA28B4" w:rsidRPr="0015098C" w:rsidRDefault="00DA28B4" w:rsidP="00DA28B4">
      <w:pPr>
        <w:widowControl w:val="0"/>
        <w:autoSpaceDE w:val="0"/>
        <w:autoSpaceDN w:val="0"/>
        <w:rPr>
          <w:lang w:eastAsia="cs-CZ"/>
        </w:rPr>
      </w:pPr>
      <w:r w:rsidRPr="0015098C">
        <w:rPr>
          <w:lang w:eastAsia="cs-CZ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</w:p>
    <w:p w:rsidR="00DA28B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tabs>
          <w:tab w:val="left" w:pos="1134"/>
          <w:tab w:val="left" w:pos="3261"/>
        </w:tabs>
        <w:jc w:val="both"/>
        <w:rPr>
          <w:b/>
          <w:lang w:eastAsia="en-US"/>
        </w:rPr>
      </w:pPr>
      <w:r>
        <w:rPr>
          <w:b/>
          <w:lang w:eastAsia="en-US"/>
        </w:rPr>
        <w:t>Právne normy</w:t>
      </w:r>
    </w:p>
    <w:p w:rsidR="00DA28B4" w:rsidRPr="00DB71D4" w:rsidRDefault="00DA28B4" w:rsidP="00DA28B4">
      <w:pPr>
        <w:tabs>
          <w:tab w:val="left" w:pos="1134"/>
          <w:tab w:val="left" w:pos="3261"/>
        </w:tabs>
        <w:jc w:val="both"/>
        <w:rPr>
          <w:lang w:eastAsia="en-US"/>
        </w:rPr>
      </w:pPr>
      <w:r w:rsidRPr="00DB71D4">
        <w:rPr>
          <w:lang w:eastAsia="en-US"/>
        </w:rPr>
        <w:t>Pred použitím prípravku si pozorne prečítajte návod na použitie. Užívateľ nesie plnú zodpovednosť za poškodenie, ktoré spôsobí nesprávnym používaním prípravku.</w:t>
      </w: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Pr="00DB71D4" w:rsidRDefault="00DA28B4" w:rsidP="00DA28B4">
      <w:pPr>
        <w:jc w:val="both"/>
        <w:rPr>
          <w:lang w:eastAsia="en-US"/>
        </w:rPr>
      </w:pPr>
    </w:p>
    <w:p w:rsidR="00DA28B4" w:rsidRDefault="00DA28B4" w:rsidP="00DA28B4"/>
    <w:p w:rsidR="00A52667" w:rsidRPr="00DA28B4" w:rsidRDefault="00A52667" w:rsidP="00DA28B4"/>
    <w:sectPr w:rsidR="00A52667" w:rsidRPr="00DA28B4" w:rsidSect="00A52667">
      <w:headerReference w:type="default" r:id="rId10"/>
      <w:footerReference w:type="even" r:id="rId11"/>
      <w:footerReference w:type="default" r:id="rId12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C2" w:rsidRDefault="002061C2">
      <w:r>
        <w:separator/>
      </w:r>
    </w:p>
  </w:endnote>
  <w:endnote w:type="continuationSeparator" w:id="0">
    <w:p w:rsidR="002061C2" w:rsidRDefault="002061C2">
      <w:r>
        <w:continuationSeparator/>
      </w:r>
    </w:p>
  </w:endnote>
  <w:endnote w:type="continuationNotice" w:id="1">
    <w:p w:rsidR="002061C2" w:rsidRDefault="00206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60" w:rsidRDefault="003D236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3D2360" w:rsidRDefault="003D23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60" w:rsidRPr="000D090A" w:rsidRDefault="003D2360" w:rsidP="0013228E">
    <w:pPr>
      <w:pStyle w:val="Pta"/>
      <w:rPr>
        <w:sz w:val="20"/>
      </w:rPr>
    </w:pPr>
    <w:r>
      <w:rPr>
        <w:sz w:val="20"/>
      </w:rPr>
      <w:t>ICZ/2011/0359/ki</w:t>
    </w:r>
    <w:r w:rsidR="00485996">
      <w:rPr>
        <w:sz w:val="20"/>
      </w:rPr>
      <w:tab/>
    </w:r>
    <w:r w:rsidR="00485996">
      <w:rPr>
        <w:sz w:val="20"/>
      </w:rPr>
      <w:tab/>
    </w:r>
    <w:r w:rsidR="00485996" w:rsidRPr="00485996">
      <w:rPr>
        <w:sz w:val="20"/>
        <w:lang w:val="sk-SK"/>
      </w:rPr>
      <w:t xml:space="preserve">Strana </w:t>
    </w:r>
    <w:r w:rsidR="00485996" w:rsidRPr="00485996">
      <w:rPr>
        <w:b/>
        <w:bCs/>
        <w:sz w:val="20"/>
      </w:rPr>
      <w:fldChar w:fldCharType="begin"/>
    </w:r>
    <w:r w:rsidR="00485996" w:rsidRPr="00485996">
      <w:rPr>
        <w:b/>
        <w:bCs/>
        <w:sz w:val="20"/>
      </w:rPr>
      <w:instrText>PAGE  \* Arabic  \* MERGEFORMAT</w:instrText>
    </w:r>
    <w:r w:rsidR="00485996" w:rsidRPr="00485996">
      <w:rPr>
        <w:b/>
        <w:bCs/>
        <w:sz w:val="20"/>
      </w:rPr>
      <w:fldChar w:fldCharType="separate"/>
    </w:r>
    <w:r w:rsidR="00C21D2A" w:rsidRPr="00C21D2A">
      <w:rPr>
        <w:b/>
        <w:bCs/>
        <w:noProof/>
        <w:sz w:val="20"/>
        <w:lang w:val="sk-SK"/>
      </w:rPr>
      <w:t>1</w:t>
    </w:r>
    <w:r w:rsidR="00485996" w:rsidRPr="00485996">
      <w:rPr>
        <w:b/>
        <w:bCs/>
        <w:sz w:val="20"/>
      </w:rPr>
      <w:fldChar w:fldCharType="end"/>
    </w:r>
    <w:r w:rsidR="00485996" w:rsidRPr="00485996">
      <w:rPr>
        <w:sz w:val="20"/>
        <w:lang w:val="sk-SK"/>
      </w:rPr>
      <w:t xml:space="preserve"> z </w:t>
    </w:r>
    <w:r w:rsidR="00485996" w:rsidRPr="00485996">
      <w:rPr>
        <w:b/>
        <w:bCs/>
        <w:sz w:val="20"/>
      </w:rPr>
      <w:fldChar w:fldCharType="begin"/>
    </w:r>
    <w:r w:rsidR="00485996" w:rsidRPr="00485996">
      <w:rPr>
        <w:b/>
        <w:bCs/>
        <w:sz w:val="20"/>
      </w:rPr>
      <w:instrText>NUMPAGES  \* Arabic  \* MERGEFORMAT</w:instrText>
    </w:r>
    <w:r w:rsidR="00485996" w:rsidRPr="00485996">
      <w:rPr>
        <w:b/>
        <w:bCs/>
        <w:sz w:val="20"/>
      </w:rPr>
      <w:fldChar w:fldCharType="separate"/>
    </w:r>
    <w:r w:rsidR="00C21D2A" w:rsidRPr="00C21D2A">
      <w:rPr>
        <w:b/>
        <w:bCs/>
        <w:noProof/>
        <w:sz w:val="20"/>
        <w:lang w:val="sk-SK"/>
      </w:rPr>
      <w:t>5</w:t>
    </w:r>
    <w:r w:rsidR="00485996" w:rsidRPr="00485996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C2" w:rsidRDefault="002061C2">
      <w:r>
        <w:separator/>
      </w:r>
    </w:p>
  </w:footnote>
  <w:footnote w:type="continuationSeparator" w:id="0">
    <w:p w:rsidR="002061C2" w:rsidRDefault="002061C2">
      <w:r>
        <w:continuationSeparator/>
      </w:r>
    </w:p>
  </w:footnote>
  <w:footnote w:type="continuationNotice" w:id="1">
    <w:p w:rsidR="002061C2" w:rsidRDefault="00206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60" w:rsidRPr="00104678" w:rsidRDefault="00CF240C" w:rsidP="0013228E">
    <w:pPr>
      <w:pStyle w:val="Hlavika"/>
      <w:jc w:val="right"/>
      <w:rPr>
        <w:lang w:val="sk-SK"/>
      </w:rPr>
    </w:pPr>
    <w:r>
      <w:rPr>
        <w:lang w:val="sk-SK"/>
      </w:rPr>
      <w:t xml:space="preserve">etiketa schválená: </w:t>
    </w:r>
    <w:r w:rsidR="006E0E87">
      <w:rPr>
        <w:lang w:val="sk-SK"/>
      </w:rPr>
      <w:t>4.3.2016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D4"/>
    <w:rsid w:val="00064BBE"/>
    <w:rsid w:val="00085292"/>
    <w:rsid w:val="00104678"/>
    <w:rsid w:val="0013228E"/>
    <w:rsid w:val="0015098C"/>
    <w:rsid w:val="0015152F"/>
    <w:rsid w:val="001613AB"/>
    <w:rsid w:val="00166330"/>
    <w:rsid w:val="00186F9E"/>
    <w:rsid w:val="001A31F4"/>
    <w:rsid w:val="001A7578"/>
    <w:rsid w:val="001E6E0C"/>
    <w:rsid w:val="002061C2"/>
    <w:rsid w:val="002766C4"/>
    <w:rsid w:val="0028368D"/>
    <w:rsid w:val="002A6914"/>
    <w:rsid w:val="002C0882"/>
    <w:rsid w:val="00311F65"/>
    <w:rsid w:val="003123DF"/>
    <w:rsid w:val="003272DE"/>
    <w:rsid w:val="00346E3B"/>
    <w:rsid w:val="00362E17"/>
    <w:rsid w:val="00381F64"/>
    <w:rsid w:val="003D2360"/>
    <w:rsid w:val="00467F1C"/>
    <w:rsid w:val="004844CA"/>
    <w:rsid w:val="00485996"/>
    <w:rsid w:val="004A02C6"/>
    <w:rsid w:val="00526A81"/>
    <w:rsid w:val="00542173"/>
    <w:rsid w:val="005629EF"/>
    <w:rsid w:val="005B5B6B"/>
    <w:rsid w:val="005E1ED1"/>
    <w:rsid w:val="005E3786"/>
    <w:rsid w:val="005E5166"/>
    <w:rsid w:val="00660A36"/>
    <w:rsid w:val="006855F3"/>
    <w:rsid w:val="00686870"/>
    <w:rsid w:val="006C2DCB"/>
    <w:rsid w:val="006E0E87"/>
    <w:rsid w:val="00716707"/>
    <w:rsid w:val="007267CF"/>
    <w:rsid w:val="00736A26"/>
    <w:rsid w:val="007426D8"/>
    <w:rsid w:val="007B69CE"/>
    <w:rsid w:val="00802D20"/>
    <w:rsid w:val="00844BEE"/>
    <w:rsid w:val="00872FB1"/>
    <w:rsid w:val="008B6801"/>
    <w:rsid w:val="008C2F23"/>
    <w:rsid w:val="008E75A2"/>
    <w:rsid w:val="0096632A"/>
    <w:rsid w:val="009B4D96"/>
    <w:rsid w:val="009E5132"/>
    <w:rsid w:val="00A063E9"/>
    <w:rsid w:val="00A351E8"/>
    <w:rsid w:val="00A42E23"/>
    <w:rsid w:val="00A52667"/>
    <w:rsid w:val="00A92613"/>
    <w:rsid w:val="00AA1EF8"/>
    <w:rsid w:val="00AE500D"/>
    <w:rsid w:val="00B1355A"/>
    <w:rsid w:val="00B47204"/>
    <w:rsid w:val="00B57F08"/>
    <w:rsid w:val="00B77174"/>
    <w:rsid w:val="00BA6298"/>
    <w:rsid w:val="00BE7036"/>
    <w:rsid w:val="00C0243B"/>
    <w:rsid w:val="00C21D2A"/>
    <w:rsid w:val="00C27584"/>
    <w:rsid w:val="00C3747B"/>
    <w:rsid w:val="00C42168"/>
    <w:rsid w:val="00CB23C5"/>
    <w:rsid w:val="00CF240C"/>
    <w:rsid w:val="00D75427"/>
    <w:rsid w:val="00DA28B4"/>
    <w:rsid w:val="00DA48D0"/>
    <w:rsid w:val="00DB71D4"/>
    <w:rsid w:val="00DE345D"/>
    <w:rsid w:val="00DE6B98"/>
    <w:rsid w:val="00E8668A"/>
    <w:rsid w:val="00E91869"/>
    <w:rsid w:val="00E96704"/>
    <w:rsid w:val="00EF6BEE"/>
    <w:rsid w:val="00F05244"/>
    <w:rsid w:val="00F96FED"/>
    <w:rsid w:val="00FA1609"/>
    <w:rsid w:val="00FB4559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509DD2D"/>
  <w15:docId w15:val="{2DE046DF-6C5D-4B5E-8DBE-14F82DFB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B71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DB71D4"/>
    <w:rPr>
      <w:sz w:val="24"/>
      <w:szCs w:val="24"/>
    </w:rPr>
  </w:style>
  <w:style w:type="paragraph" w:styleId="Pta">
    <w:name w:val="footer"/>
    <w:basedOn w:val="Normlny"/>
    <w:link w:val="PtaChar"/>
    <w:rsid w:val="00DB71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DB71D4"/>
    <w:rPr>
      <w:sz w:val="24"/>
      <w:szCs w:val="24"/>
    </w:rPr>
  </w:style>
  <w:style w:type="character" w:styleId="slostrany">
    <w:name w:val="page number"/>
    <w:rsid w:val="00DB71D4"/>
  </w:style>
  <w:style w:type="character" w:styleId="Odkaznakomentr">
    <w:name w:val="annotation reference"/>
    <w:rsid w:val="00DB71D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B71D4"/>
    <w:pPr>
      <w:spacing w:before="120" w:after="120"/>
      <w:jc w:val="both"/>
    </w:pPr>
    <w:rPr>
      <w:sz w:val="20"/>
      <w:szCs w:val="20"/>
      <w:lang w:val="cs-CZ" w:eastAsia="en-US"/>
    </w:rPr>
  </w:style>
  <w:style w:type="character" w:customStyle="1" w:styleId="TextkomentraChar">
    <w:name w:val="Text komentára Char"/>
    <w:link w:val="Textkomentra"/>
    <w:rsid w:val="00DB71D4"/>
    <w:rPr>
      <w:lang w:val="cs-CZ" w:eastAsia="en-US"/>
    </w:rPr>
  </w:style>
  <w:style w:type="paragraph" w:styleId="Textbubliny">
    <w:name w:val="Balloon Text"/>
    <w:basedOn w:val="Normlny"/>
    <w:link w:val="TextbublinyChar"/>
    <w:rsid w:val="00686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6870"/>
    <w:rPr>
      <w:rFonts w:ascii="Tahoma" w:hAnsi="Tahoma" w:cs="Tahoma"/>
      <w:sz w:val="16"/>
      <w:szCs w:val="16"/>
    </w:rPr>
  </w:style>
  <w:style w:type="paragraph" w:customStyle="1" w:styleId="hustynormal">
    <w:name w:val="husty normal"/>
    <w:basedOn w:val="Normlny"/>
    <w:rsid w:val="00686870"/>
    <w:pPr>
      <w:spacing w:before="120" w:after="120"/>
      <w:jc w:val="both"/>
    </w:pPr>
    <w:rPr>
      <w:szCs w:val="20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844BEE"/>
    <w:pPr>
      <w:spacing w:before="0" w:after="0"/>
      <w:jc w:val="left"/>
    </w:pPr>
    <w:rPr>
      <w:b/>
      <w:bCs/>
      <w:lang w:val="sk-SK" w:eastAsia="sk-SK"/>
    </w:rPr>
  </w:style>
  <w:style w:type="character" w:customStyle="1" w:styleId="PredmetkomentraChar">
    <w:name w:val="Predmet komentára Char"/>
    <w:link w:val="Predmetkomentra"/>
    <w:rsid w:val="00844BEE"/>
    <w:rPr>
      <w:b/>
      <w:bCs/>
      <w:lang w:val="cs-CZ" w:eastAsia="en-US"/>
    </w:rPr>
  </w:style>
  <w:style w:type="paragraph" w:styleId="Zkladntext">
    <w:name w:val="Body Text"/>
    <w:basedOn w:val="Normlny"/>
    <w:link w:val="ZkladntextChar"/>
    <w:rsid w:val="008C2F23"/>
    <w:rPr>
      <w:b/>
      <w:bCs/>
      <w:sz w:val="52"/>
      <w:lang w:eastAsia="cs-CZ"/>
    </w:rPr>
  </w:style>
  <w:style w:type="character" w:customStyle="1" w:styleId="ZkladntextChar">
    <w:name w:val="Základný text Char"/>
    <w:link w:val="Zkladntext"/>
    <w:rsid w:val="008C2F23"/>
    <w:rPr>
      <w:b/>
      <w:bCs/>
      <w:sz w:val="52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EC15-7CCD-4850-B8AB-57B56552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Medveď Martin Ing.</dc:creator>
  <cp:lastModifiedBy>Marcela Cambalova</cp:lastModifiedBy>
  <cp:revision>14</cp:revision>
  <cp:lastPrinted>2016-01-10T22:56:00Z</cp:lastPrinted>
  <dcterms:created xsi:type="dcterms:W3CDTF">2015-12-22T10:07:00Z</dcterms:created>
  <dcterms:modified xsi:type="dcterms:W3CDTF">2019-10-08T13:49:00Z</dcterms:modified>
</cp:coreProperties>
</file>