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sz w:val="24"/>
          <w:szCs w:val="24"/>
        </w:rPr>
      </w:pPr>
      <w:r>
        <w:rPr>
          <w:sz w:val="24"/>
          <w:szCs w:val="24"/>
        </w:rPr>
        <w:t>Prípravok na ochranu rastlín pre profesionálnych používateľov</w:t>
      </w:r>
    </w:p>
    <w:p>
      <w:pPr>
        <w:pStyle w:val="Normal"/>
        <w:tabs>
          <w:tab w:val="center" w:pos="4890" w:leader="none"/>
          <w:tab w:val="left" w:pos="6000" w:leader="none"/>
        </w:tabs>
        <w:jc w:val="center"/>
        <w:rPr>
          <w:b/>
          <w:b/>
          <w:sz w:val="40"/>
          <w:szCs w:val="40"/>
        </w:rPr>
      </w:pPr>
      <w:r>
        <w:rPr>
          <w:b/>
          <w:sz w:val="40"/>
          <w:szCs w:val="40"/>
        </w:rPr>
        <w:t>LONTREL* 300</w:t>
      </w:r>
    </w:p>
    <w:p>
      <w:pPr>
        <w:pStyle w:val="Normal"/>
        <w:jc w:val="both"/>
        <w:rPr>
          <w:sz w:val="24"/>
          <w:szCs w:val="24"/>
        </w:rPr>
      </w:pPr>
      <w:r>
        <w:rPr>
          <w:sz w:val="24"/>
          <w:szCs w:val="24"/>
        </w:rPr>
      </w:r>
    </w:p>
    <w:p>
      <w:pPr>
        <w:pStyle w:val="Normal"/>
        <w:jc w:val="both"/>
        <w:rPr>
          <w:sz w:val="24"/>
          <w:szCs w:val="24"/>
        </w:rPr>
      </w:pPr>
      <w:r>
        <w:rPr>
          <w:sz w:val="24"/>
          <w:szCs w:val="24"/>
        </w:rPr>
        <w:t>Postrekový herbicíd vo forme kvapalného koncentrátu pre riedenie vodou určený  na postemergentné použitie proti odolným dvojklíčnolistovým burinám v poľnohospodárskych plodinách a v lesnom hospodárstve.</w:t>
      </w:r>
    </w:p>
    <w:p>
      <w:pPr>
        <w:pStyle w:val="NormalIndent"/>
        <w:ind w:left="0" w:hanging="0"/>
        <w:rPr>
          <w:b/>
          <w:b/>
          <w:sz w:val="24"/>
          <w:szCs w:val="24"/>
          <w:lang w:val="sk-SK"/>
        </w:rPr>
      </w:pPr>
      <w:r>
        <w:rPr>
          <w:b/>
          <w:sz w:val="24"/>
          <w:szCs w:val="24"/>
          <w:lang w:val="sk-SK"/>
        </w:rPr>
      </w:r>
    </w:p>
    <w:p>
      <w:pPr>
        <w:pStyle w:val="Normal"/>
        <w:spacing w:before="0" w:after="120"/>
        <w:jc w:val="both"/>
        <w:rPr>
          <w:b/>
          <w:b/>
          <w:sz w:val="24"/>
          <w:szCs w:val="24"/>
        </w:rPr>
      </w:pPr>
      <w:r>
        <w:rPr>
          <w:b/>
          <w:caps/>
          <w:sz w:val="24"/>
          <w:szCs w:val="24"/>
        </w:rPr>
        <w:t>Účinná látka</w:t>
      </w:r>
      <w:r>
        <w:rPr>
          <w:b/>
          <w:sz w:val="24"/>
          <w:szCs w:val="24"/>
        </w:rPr>
        <w:t>:</w:t>
      </w:r>
    </w:p>
    <w:tbl>
      <w:tblPr>
        <w:tblW w:w="9555" w:type="dxa"/>
        <w:jc w:val="left"/>
        <w:tblInd w:w="0" w:type="dxa"/>
        <w:tblBorders/>
        <w:tblCellMar>
          <w:top w:w="0" w:type="dxa"/>
          <w:left w:w="57" w:type="dxa"/>
          <w:bottom w:w="0" w:type="dxa"/>
          <w:right w:w="57" w:type="dxa"/>
        </w:tblCellMar>
        <w:tblLook w:firstRow="1" w:noVBand="0" w:lastRow="1" w:firstColumn="1" w:lastColumn="1" w:noHBand="0" w:val="01e0"/>
      </w:tblPr>
      <w:tblGrid>
        <w:gridCol w:w="1899"/>
        <w:gridCol w:w="2693"/>
        <w:gridCol w:w="4963"/>
      </w:tblGrid>
      <w:tr>
        <w:trPr/>
        <w:tc>
          <w:tcPr>
            <w:tcW w:w="1899" w:type="dxa"/>
            <w:tcBorders/>
            <w:shd w:fill="auto" w:val="clear"/>
          </w:tcPr>
          <w:p>
            <w:pPr>
              <w:pStyle w:val="Normal"/>
              <w:ind w:right="113" w:hanging="0"/>
              <w:rPr>
                <w:sz w:val="24"/>
                <w:szCs w:val="24"/>
              </w:rPr>
            </w:pPr>
            <w:r>
              <w:rPr>
                <w:b/>
                <w:sz w:val="24"/>
                <w:szCs w:val="24"/>
              </w:rPr>
              <w:t>Clopyralid</w:t>
            </w:r>
          </w:p>
        </w:tc>
        <w:tc>
          <w:tcPr>
            <w:tcW w:w="2693" w:type="dxa"/>
            <w:tcBorders/>
            <w:shd w:fill="auto" w:val="clear"/>
          </w:tcPr>
          <w:p>
            <w:pPr>
              <w:pStyle w:val="Normal"/>
              <w:ind w:right="113" w:hanging="0"/>
              <w:rPr>
                <w:b/>
                <w:b/>
                <w:sz w:val="24"/>
                <w:szCs w:val="24"/>
              </w:rPr>
            </w:pPr>
            <w:r>
              <w:rPr>
                <w:b/>
                <w:sz w:val="24"/>
                <w:szCs w:val="24"/>
              </w:rPr>
              <w:t>300 g /l</w:t>
            </w:r>
          </w:p>
          <w:p>
            <w:pPr>
              <w:pStyle w:val="Normal"/>
              <w:ind w:right="113" w:hanging="0"/>
              <w:rPr>
                <w:sz w:val="24"/>
                <w:szCs w:val="24"/>
              </w:rPr>
            </w:pPr>
            <w:r>
              <w:rPr>
                <w:sz w:val="24"/>
                <w:szCs w:val="24"/>
              </w:rPr>
              <w:t>(25,8 % hm)</w:t>
            </w:r>
          </w:p>
        </w:tc>
        <w:tc>
          <w:tcPr>
            <w:tcW w:w="4963" w:type="dxa"/>
            <w:tcBorders/>
            <w:shd w:fill="auto" w:val="clear"/>
          </w:tcPr>
          <w:p>
            <w:pPr>
              <w:pStyle w:val="NormalIndent"/>
              <w:ind w:left="0" w:hanging="0"/>
              <w:rPr>
                <w:sz w:val="24"/>
                <w:szCs w:val="24"/>
                <w:lang w:val="sk-SK"/>
              </w:rPr>
            </w:pPr>
            <w:r>
              <w:rPr>
                <w:sz w:val="24"/>
                <w:szCs w:val="24"/>
                <w:lang w:val="sk-SK"/>
              </w:rPr>
            </w:r>
          </w:p>
        </w:tc>
      </w:tr>
    </w:tbl>
    <w:p>
      <w:pPr>
        <w:pStyle w:val="Normal"/>
        <w:jc w:val="both"/>
        <w:rPr>
          <w:b/>
          <w:b/>
          <w:sz w:val="24"/>
          <w:szCs w:val="24"/>
        </w:rPr>
      </w:pPr>
      <w:r>
        <w:rPr>
          <w:b/>
          <w:sz w:val="24"/>
          <w:szCs w:val="24"/>
        </w:rPr>
      </w:r>
    </w:p>
    <w:p>
      <w:pPr>
        <w:pStyle w:val="NormalIndent"/>
        <w:ind w:left="0" w:hanging="0"/>
        <w:jc w:val="both"/>
        <w:rPr>
          <w:b/>
          <w:b/>
          <w:sz w:val="24"/>
          <w:szCs w:val="24"/>
          <w:lang w:val="sk-SK"/>
        </w:rPr>
      </w:pPr>
      <w:r>
        <w:rPr>
          <w:b/>
          <w:sz w:val="24"/>
          <w:szCs w:val="24"/>
          <w:lang w:val="sk-SK"/>
        </w:rPr>
        <w:t>Látky nebezpečné pre zdravie, ktoré prispievajú ku klasifikácii prípravku:</w:t>
      </w:r>
    </w:p>
    <w:p>
      <w:pPr>
        <w:pStyle w:val="NormalIndent"/>
        <w:ind w:left="0" w:hanging="0"/>
        <w:jc w:val="both"/>
        <w:rPr>
          <w:sz w:val="24"/>
          <w:szCs w:val="24"/>
          <w:lang w:val="sk-SK"/>
        </w:rPr>
      </w:pPr>
      <w:r>
        <w:rPr>
          <w:sz w:val="24"/>
          <w:szCs w:val="24"/>
          <w:lang w:val="sk-SK"/>
        </w:rPr>
        <w:t>3,6-dichlórpikolínová kyselina CAS No.: 1702-17-6</w:t>
      </w:r>
    </w:p>
    <w:p>
      <w:pPr>
        <w:pStyle w:val="NormalIndent"/>
        <w:ind w:left="0" w:hanging="0"/>
        <w:rPr>
          <w:lang w:val="sk-SK"/>
        </w:rPr>
      </w:pPr>
      <w:r>
        <w:rPr>
          <w:lang w:val="sk-SK"/>
        </w:rPr>
      </w:r>
    </w:p>
    <w:p>
      <w:pPr>
        <w:pStyle w:val="Normal"/>
        <w:jc w:val="both"/>
        <w:rPr>
          <w:b/>
          <w:b/>
          <w:sz w:val="24"/>
          <w:szCs w:val="24"/>
        </w:rPr>
      </w:pPr>
      <w:r>
        <w:rPr>
          <w:b/>
          <w:caps/>
          <w:sz w:val="24"/>
          <w:szCs w:val="24"/>
        </w:rPr>
        <w:t>Označenie prípravku</w:t>
      </w:r>
      <w:r>
        <w:rPr>
          <w:b/>
          <w:sz w:val="24"/>
          <w:szCs w:val="24"/>
        </w:rPr>
        <w:t>:</w:t>
      </w:r>
    </w:p>
    <w:p>
      <w:pPr>
        <w:pStyle w:val="Normal"/>
        <w:jc w:val="both"/>
        <w:rPr>
          <w:b/>
          <w:b/>
          <w:sz w:val="24"/>
          <w:szCs w:val="24"/>
        </w:rPr>
      </w:pPr>
      <w:r>
        <w:rPr>
          <w:b/>
          <w:sz w:val="24"/>
          <w:szCs w:val="24"/>
        </w:rPr>
      </w:r>
    </w:p>
    <w:p>
      <w:pPr>
        <w:pStyle w:val="NormalIndent"/>
        <w:ind w:left="0" w:hanging="0"/>
        <w:rPr>
          <w:lang w:eastAsia="zh-CN"/>
        </w:rPr>
      </w:pPr>
      <w:r>
        <w:rPr/>
        <w:drawing>
          <wp:inline distT="0" distB="0" distL="0" distR="0">
            <wp:extent cx="685800" cy="685800"/>
            <wp:effectExtent l="0" t="0" r="0" b="0"/>
            <wp:docPr id="1" name="Obrázo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8" descr=""/>
                    <pic:cNvPicPr>
                      <a:picLocks noChangeAspect="1" noChangeArrowheads="1"/>
                    </pic:cNvPicPr>
                  </pic:nvPicPr>
                  <pic:blipFill>
                    <a:blip r:embed="rId2"/>
                    <a:stretch>
                      <a:fillRect/>
                    </a:stretch>
                  </pic:blipFill>
                  <pic:spPr bwMode="auto">
                    <a:xfrm>
                      <a:off x="0" y="0"/>
                      <a:ext cx="685800" cy="685800"/>
                    </a:xfrm>
                    <a:prstGeom prst="rect">
                      <a:avLst/>
                    </a:prstGeom>
                  </pic:spPr>
                </pic:pic>
              </a:graphicData>
            </a:graphic>
          </wp:inline>
        </w:drawing>
      </w:r>
    </w:p>
    <w:p>
      <w:pPr>
        <w:pStyle w:val="NormalIndent"/>
        <w:ind w:left="0" w:hanging="0"/>
        <w:rPr>
          <w:b/>
          <w:b/>
          <w:bCs/>
          <w:sz w:val="24"/>
          <w:szCs w:val="24"/>
          <w:lang w:eastAsia="zh-CN"/>
        </w:rPr>
      </w:pPr>
      <w:r>
        <w:rPr>
          <w:b/>
          <w:bCs/>
          <w:sz w:val="24"/>
          <w:szCs w:val="24"/>
          <w:lang w:val="sk-SK"/>
        </w:rPr>
        <w:t xml:space="preserve">   </w:t>
      </w:r>
      <w:r>
        <w:rPr>
          <w:sz w:val="24"/>
          <w:szCs w:val="24"/>
          <w:lang w:val="sk-SK"/>
        </w:rPr>
        <w:t>GHS09</w:t>
      </w:r>
    </w:p>
    <w:p>
      <w:pPr>
        <w:pStyle w:val="NormalIndent"/>
        <w:ind w:left="0" w:hanging="0"/>
        <w:rPr>
          <w:b/>
          <w:b/>
          <w:bCs/>
          <w:sz w:val="24"/>
          <w:szCs w:val="24"/>
          <w:lang w:eastAsia="zh-CN"/>
        </w:rPr>
      </w:pPr>
      <w:r>
        <w:rPr>
          <w:b/>
          <w:bCs/>
          <w:sz w:val="24"/>
          <w:szCs w:val="24"/>
          <w:lang w:eastAsia="zh-CN"/>
        </w:rPr>
      </w:r>
    </w:p>
    <w:p>
      <w:pPr>
        <w:pStyle w:val="Normal"/>
        <w:tabs>
          <w:tab w:val="left" w:pos="1008" w:leader="none"/>
        </w:tabs>
        <w:jc w:val="both"/>
        <w:rPr>
          <w:b/>
          <w:b/>
          <w:bCs/>
          <w:sz w:val="24"/>
          <w:szCs w:val="24"/>
        </w:rPr>
      </w:pPr>
      <w:r>
        <w:rPr>
          <w:b/>
          <w:bCs/>
          <w:sz w:val="24"/>
          <w:szCs w:val="24"/>
        </w:rPr>
        <w:t>POZOR</w:t>
      </w:r>
    </w:p>
    <w:p>
      <w:pPr>
        <w:pStyle w:val="NormalIndent"/>
        <w:ind w:left="0" w:hanging="0"/>
        <w:rPr>
          <w:b/>
          <w:b/>
          <w:bCs/>
          <w:sz w:val="24"/>
          <w:szCs w:val="24"/>
        </w:rPr>
      </w:pPr>
      <w:r>
        <w:rPr>
          <w:b/>
          <w:bCs/>
          <w:sz w:val="24"/>
          <w:szCs w:val="24"/>
        </w:rPr>
      </w:r>
    </w:p>
    <w:tbl>
      <w:tblPr>
        <w:tblW w:w="9780" w:type="dxa"/>
        <w:jc w:val="left"/>
        <w:tblInd w:w="0" w:type="dxa"/>
        <w:tblBorders/>
        <w:tblCellMar>
          <w:top w:w="0" w:type="dxa"/>
          <w:left w:w="108" w:type="dxa"/>
          <w:bottom w:w="0" w:type="dxa"/>
          <w:right w:w="108" w:type="dxa"/>
        </w:tblCellMar>
        <w:tblLook w:firstRow="1" w:noVBand="1" w:lastRow="0" w:firstColumn="1" w:lastColumn="0" w:noHBand="0" w:val="04a0"/>
      </w:tblPr>
      <w:tblGrid>
        <w:gridCol w:w="1517"/>
        <w:gridCol w:w="8262"/>
      </w:tblGrid>
      <w:tr>
        <w:trPr/>
        <w:tc>
          <w:tcPr>
            <w:tcW w:w="1517" w:type="dxa"/>
            <w:tcBorders/>
            <w:shd w:fill="auto" w:val="clear"/>
          </w:tcPr>
          <w:p>
            <w:pPr>
              <w:pStyle w:val="Normal"/>
              <w:numPr>
                <w:ilvl w:val="0"/>
                <w:numId w:val="0"/>
              </w:numPr>
              <w:overflowPunct w:val="false"/>
              <w:ind w:left="-108" w:hanging="0"/>
              <w:jc w:val="both"/>
              <w:textAlignment w:val="auto"/>
              <w:outlineLvl w:val="0"/>
              <w:rPr>
                <w:b/>
                <w:b/>
                <w:sz w:val="24"/>
                <w:szCs w:val="24"/>
                <w:lang w:eastAsia="en-US"/>
              </w:rPr>
            </w:pPr>
            <w:r>
              <w:rPr>
                <w:b/>
                <w:bCs/>
                <w:sz w:val="24"/>
                <w:szCs w:val="24"/>
              </w:rPr>
              <w:t>H410</w:t>
              <w:tab/>
            </w:r>
          </w:p>
          <w:p>
            <w:pPr>
              <w:pStyle w:val="Normal"/>
              <w:numPr>
                <w:ilvl w:val="0"/>
                <w:numId w:val="0"/>
              </w:numPr>
              <w:overflowPunct w:val="false"/>
              <w:ind w:left="-108" w:hanging="0"/>
              <w:jc w:val="both"/>
              <w:textAlignment w:val="auto"/>
              <w:outlineLvl w:val="0"/>
              <w:rPr>
                <w:b/>
                <w:b/>
                <w:sz w:val="24"/>
                <w:szCs w:val="24"/>
                <w:lang w:eastAsia="en-US"/>
              </w:rPr>
            </w:pPr>
            <w:r>
              <w:rPr>
                <w:b/>
                <w:sz w:val="24"/>
                <w:szCs w:val="24"/>
                <w:lang w:eastAsia="en-US"/>
              </w:rPr>
              <w:t>EUH401</w:t>
            </w:r>
          </w:p>
        </w:tc>
        <w:tc>
          <w:tcPr>
            <w:tcW w:w="8262" w:type="dxa"/>
            <w:tcBorders/>
            <w:shd w:fill="auto" w:val="clear"/>
          </w:tcPr>
          <w:p>
            <w:pPr>
              <w:pStyle w:val="NormalIndent"/>
              <w:ind w:left="0" w:hanging="0"/>
              <w:rPr>
                <w:sz w:val="24"/>
                <w:szCs w:val="24"/>
              </w:rPr>
            </w:pPr>
            <w:r>
              <w:rPr>
                <w:sz w:val="24"/>
                <w:szCs w:val="24"/>
              </w:rPr>
              <w:t>Veľmi toxický pre vodné organizmy, s dlhodobými účinkami.</w:t>
            </w:r>
          </w:p>
          <w:p>
            <w:pPr>
              <w:pStyle w:val="NormalIndent"/>
              <w:ind w:left="0" w:hanging="0"/>
              <w:rPr>
                <w:b/>
                <w:b/>
                <w:bCs/>
                <w:sz w:val="24"/>
                <w:szCs w:val="24"/>
              </w:rPr>
            </w:pPr>
            <w:r>
              <w:rPr>
                <w:b/>
                <w:sz w:val="24"/>
                <w:szCs w:val="24"/>
              </w:rPr>
              <w:t>Dodržiavajte návod na používanie, aby ste zabránili vzniku rizík pre zdravie ľudí a životné prostredie.</w:t>
            </w:r>
          </w:p>
        </w:tc>
      </w:tr>
    </w:tbl>
    <w:p>
      <w:pPr>
        <w:pStyle w:val="NormalIndent"/>
        <w:ind w:left="0" w:hanging="0"/>
        <w:rPr>
          <w:bCs/>
          <w:sz w:val="24"/>
          <w:szCs w:val="24"/>
        </w:rPr>
      </w:pPr>
      <w:r>
        <w:rPr>
          <w:bCs/>
          <w:sz w:val="24"/>
          <w:szCs w:val="24"/>
        </w:rPr>
        <w:t>P391</w:t>
        <w:tab/>
      </w:r>
      <w:r>
        <w:rPr>
          <w:sz w:val="24"/>
          <w:szCs w:val="24"/>
        </w:rPr>
        <w:t>Zozbierajte uniknutý produkt.</w:t>
      </w:r>
    </w:p>
    <w:p>
      <w:pPr>
        <w:pStyle w:val="NormalIndent"/>
        <w:ind w:left="0" w:hanging="0"/>
        <w:rPr>
          <w:sz w:val="24"/>
          <w:szCs w:val="24"/>
        </w:rPr>
      </w:pPr>
      <w:r>
        <w:rPr>
          <w:bCs/>
          <w:sz w:val="24"/>
          <w:szCs w:val="24"/>
        </w:rPr>
        <w:t>P501</w:t>
      </w:r>
      <w:r>
        <w:rPr>
          <w:b/>
          <w:bCs/>
          <w:sz w:val="24"/>
          <w:szCs w:val="24"/>
        </w:rPr>
        <w:tab/>
      </w:r>
      <w:r>
        <w:rPr>
          <w:sz w:val="24"/>
          <w:szCs w:val="24"/>
        </w:rPr>
        <w:t>Zneškodnite obsa</w:t>
      </w:r>
      <w:bookmarkStart w:id="0" w:name="_GoBack"/>
      <w:bookmarkEnd w:id="0"/>
      <w:r>
        <w:rPr>
          <w:sz w:val="24"/>
          <w:szCs w:val="24"/>
        </w:rPr>
        <w:t>h/nádobu v súlade s platnými predpismi.</w:t>
      </w:r>
    </w:p>
    <w:p>
      <w:pPr>
        <w:pStyle w:val="NormalIndent"/>
        <w:ind w:left="0" w:hanging="0"/>
        <w:rPr>
          <w:sz w:val="24"/>
          <w:szCs w:val="24"/>
          <w:lang w:val="sk-SK"/>
        </w:rPr>
      </w:pPr>
      <w:r>
        <w:rPr>
          <w:sz w:val="24"/>
          <w:szCs w:val="24"/>
          <w:lang w:val="sk-SK"/>
        </w:rPr>
      </w:r>
    </w:p>
    <w:p>
      <w:pPr>
        <w:pStyle w:val="Normal"/>
        <w:ind w:left="709" w:hanging="709"/>
        <w:jc w:val="both"/>
        <w:rPr>
          <w:color w:val="000000"/>
          <w:sz w:val="24"/>
          <w:szCs w:val="24"/>
        </w:rPr>
      </w:pPr>
      <w:r>
        <w:rPr>
          <w:b/>
          <w:sz w:val="24"/>
          <w:szCs w:val="24"/>
        </w:rPr>
        <w:t>SP1</w:t>
      </w:r>
      <w:r>
        <w:rPr>
          <w:sz w:val="24"/>
          <w:szCs w:val="24"/>
        </w:rPr>
        <w:tab/>
      </w:r>
      <w:r>
        <w:rPr>
          <w:b/>
          <w:color w:val="000000"/>
          <w:sz w:val="24"/>
          <w:szCs w:val="24"/>
        </w:rPr>
        <w:t>Neznečisťujte vodu prípravkom alebo jeho obalom (Nečistite aplikačné zariadenia v blízkosti povrchových vôd/Zabráňte kontaminácii prostredníctvom odtokových kanálov z poľnohospodárskych dvorov a vozoviek).</w:t>
      </w:r>
    </w:p>
    <w:p>
      <w:pPr>
        <w:pStyle w:val="Normal"/>
        <w:ind w:left="709" w:hanging="709"/>
        <w:jc w:val="both"/>
        <w:rPr>
          <w:b/>
          <w:b/>
          <w:sz w:val="24"/>
          <w:szCs w:val="24"/>
        </w:rPr>
      </w:pPr>
      <w:r>
        <w:rPr>
          <w:b/>
          <w:sz w:val="24"/>
          <w:szCs w:val="24"/>
        </w:rPr>
        <w:t>Z4</w:t>
        <w:tab/>
        <w:t>Riziko vyplývajúce z použitia prípravku pri dodržaní predpísanej dávky alebo koncentrácie je pre domáce, hospodárske a voľne žijúce zvieratá relatívne prijateľné.</w:t>
      </w:r>
    </w:p>
    <w:p>
      <w:pPr>
        <w:pStyle w:val="Normal"/>
        <w:ind w:left="709" w:right="-1" w:hanging="709"/>
        <w:jc w:val="both"/>
        <w:rPr>
          <w:b/>
          <w:b/>
          <w:sz w:val="24"/>
          <w:szCs w:val="24"/>
        </w:rPr>
      </w:pPr>
      <w:r>
        <w:rPr>
          <w:b/>
          <w:sz w:val="24"/>
          <w:szCs w:val="24"/>
        </w:rPr>
        <w:t>Vt5</w:t>
        <w:tab/>
        <w:t>Riziko vyplývajúce z použitia prípravku pri dodržaní predpísanej dávky alebo koncentrácie je pre vtáky prijateľné.</w:t>
      </w:r>
    </w:p>
    <w:p>
      <w:pPr>
        <w:pStyle w:val="Normal"/>
        <w:ind w:right="-1" w:hanging="0"/>
        <w:jc w:val="both"/>
        <w:rPr>
          <w:b/>
          <w:b/>
          <w:sz w:val="24"/>
          <w:szCs w:val="24"/>
        </w:rPr>
      </w:pPr>
      <w:r>
        <w:rPr>
          <w:b/>
          <w:sz w:val="24"/>
          <w:szCs w:val="24"/>
        </w:rPr>
        <w:t>Vo3</w:t>
        <w:tab/>
        <w:t>Pre ryby a ostatné vodné organizmy slabo jedovatý.</w:t>
      </w:r>
    </w:p>
    <w:p>
      <w:pPr>
        <w:pStyle w:val="Normal"/>
        <w:ind w:left="709" w:hanging="709"/>
        <w:jc w:val="both"/>
        <w:rPr>
          <w:b/>
          <w:b/>
          <w:sz w:val="24"/>
          <w:szCs w:val="24"/>
        </w:rPr>
      </w:pPr>
      <w:r>
        <w:rPr>
          <w:b/>
          <w:sz w:val="24"/>
          <w:szCs w:val="24"/>
        </w:rPr>
        <w:t>V3</w:t>
        <w:tab/>
        <w:t>Riziko prípravku je prijateľné pre dážďovky a iné pôdne makroorganizmy.</w:t>
      </w:r>
    </w:p>
    <w:p>
      <w:pPr>
        <w:pStyle w:val="NormalIndent"/>
        <w:ind w:left="709" w:hanging="709"/>
        <w:jc w:val="both"/>
        <w:rPr>
          <w:b/>
          <w:b/>
          <w:sz w:val="24"/>
          <w:szCs w:val="24"/>
          <w:lang w:val="sk-SK"/>
        </w:rPr>
      </w:pPr>
      <w:r>
        <w:rPr>
          <w:b/>
          <w:sz w:val="24"/>
          <w:szCs w:val="24"/>
          <w:lang w:val="sk-SK"/>
        </w:rPr>
        <w:t>Vč3</w:t>
        <w:tab/>
        <w:t>Prípravok pre včely s prijateľným rizikom pri dodržaní predpísanej dávky alebo koncentrácie.</w:t>
      </w:r>
    </w:p>
    <w:p>
      <w:pPr>
        <w:pStyle w:val="Normal"/>
        <w:ind w:right="-1" w:hanging="0"/>
        <w:jc w:val="both"/>
        <w:rPr>
          <w:b/>
          <w:b/>
          <w:sz w:val="24"/>
          <w:szCs w:val="24"/>
        </w:rPr>
      </w:pPr>
      <w:r>
        <w:rPr>
          <w:b/>
          <w:sz w:val="24"/>
          <w:szCs w:val="24"/>
        </w:rPr>
      </w:r>
    </w:p>
    <w:p>
      <w:pPr>
        <w:pStyle w:val="Normal"/>
        <w:jc w:val="both"/>
        <w:rPr>
          <w:b/>
          <w:b/>
          <w:sz w:val="24"/>
          <w:szCs w:val="24"/>
        </w:rPr>
      </w:pPr>
      <w:r>
        <w:rPr>
          <w:b/>
          <w:sz w:val="24"/>
          <w:szCs w:val="24"/>
        </w:rPr>
        <w:t>Zákaz používania prípravku v 1. ochrannom pásme zdrojov pitných vôd!</w:t>
      </w:r>
    </w:p>
    <w:p>
      <w:pPr>
        <w:pStyle w:val="Normal"/>
        <w:ind w:right="-1" w:hanging="0"/>
        <w:jc w:val="both"/>
        <w:rPr>
          <w:b/>
          <w:b/>
          <w:sz w:val="24"/>
          <w:szCs w:val="24"/>
        </w:rPr>
      </w:pPr>
      <w:r>
        <w:rPr>
          <w:b/>
          <w:sz w:val="24"/>
          <w:szCs w:val="24"/>
        </w:rPr>
        <w:t>Neaplikujte v blízkosti hladín tečúcich a stojatých vôd! Dodržujte ochrannú zónu!</w:t>
      </w:r>
    </w:p>
    <w:p>
      <w:pPr>
        <w:pStyle w:val="Normal"/>
        <w:ind w:right="-1" w:hanging="0"/>
        <w:jc w:val="both"/>
        <w:rPr>
          <w:b/>
          <w:b/>
          <w:sz w:val="24"/>
          <w:szCs w:val="24"/>
        </w:rPr>
      </w:pPr>
      <w:r>
        <w:rPr>
          <w:b/>
          <w:sz w:val="24"/>
          <w:szCs w:val="24"/>
        </w:rPr>
        <w:t>Uložte mimo dosahu zvierat!</w:t>
      </w:r>
    </w:p>
    <w:p>
      <w:pPr>
        <w:pStyle w:val="Normal"/>
        <w:jc w:val="both"/>
        <w:rPr>
          <w:bCs/>
          <w:caps/>
          <w:sz w:val="24"/>
          <w:szCs w:val="24"/>
        </w:rPr>
      </w:pPr>
      <w:r>
        <w:rPr>
          <w:bCs/>
          <w:caps/>
          <w:sz w:val="24"/>
          <w:szCs w:val="24"/>
        </w:rPr>
        <w:t>PRÍPRAVOK V TOMTO VEĽKOSPOTREBITEĽSKOM BALENÍ NESMIE BYŤ PONÚKANÝ ALEBO PREDÁVANÝ ŠIROKEJ VEREJNOSTI!</w:t>
      </w:r>
    </w:p>
    <w:p>
      <w:pPr>
        <w:pStyle w:val="Normal"/>
        <w:rPr>
          <w:b/>
          <w:b/>
          <w:sz w:val="24"/>
          <w:szCs w:val="24"/>
        </w:rPr>
      </w:pPr>
      <w:r>
        <w:rPr>
          <w:b/>
          <w:sz w:val="24"/>
          <w:szCs w:val="24"/>
        </w:rPr>
      </w:r>
    </w:p>
    <w:p>
      <w:pPr>
        <w:pStyle w:val="Normal"/>
        <w:rPr>
          <w:b/>
          <w:b/>
          <w:sz w:val="24"/>
          <w:szCs w:val="24"/>
        </w:rPr>
      </w:pPr>
      <w:r>
        <w:rPr>
          <w:b/>
          <w:sz w:val="24"/>
          <w:szCs w:val="24"/>
        </w:rPr>
      </w:r>
    </w:p>
    <w:tbl>
      <w:tblPr>
        <w:tblW w:w="9640" w:type="dxa"/>
        <w:jc w:val="left"/>
        <w:tblInd w:w="-34" w:type="dxa"/>
        <w:tblBorders/>
        <w:tblCellMar>
          <w:top w:w="0" w:type="dxa"/>
          <w:left w:w="108" w:type="dxa"/>
          <w:bottom w:w="0" w:type="dxa"/>
          <w:right w:w="108" w:type="dxa"/>
        </w:tblCellMar>
        <w:tblLook w:firstRow="1" w:noVBand="0" w:lastRow="0" w:firstColumn="1" w:lastColumn="0" w:noHBand="0" w:val="00a0"/>
      </w:tblPr>
      <w:tblGrid>
        <w:gridCol w:w="3686"/>
        <w:gridCol w:w="5953"/>
      </w:tblGrid>
      <w:tr>
        <w:trPr/>
        <w:tc>
          <w:tcPr>
            <w:tcW w:w="3686" w:type="dxa"/>
            <w:tcBorders/>
            <w:shd w:color="auto" w:fill="auto" w:val="clear"/>
          </w:tcPr>
          <w:p>
            <w:pPr>
              <w:pStyle w:val="Normal"/>
              <w:rPr>
                <w:b/>
                <w:b/>
                <w:bCs/>
                <w:sz w:val="24"/>
                <w:szCs w:val="24"/>
              </w:rPr>
            </w:pPr>
            <w:r>
              <w:rPr>
                <w:b/>
                <w:bCs/>
                <w:sz w:val="24"/>
                <w:szCs w:val="24"/>
              </w:rPr>
              <w:t xml:space="preserve">Držiteľ autorizácie: </w:t>
            </w:r>
          </w:p>
        </w:tc>
        <w:tc>
          <w:tcPr>
            <w:tcW w:w="5953" w:type="dxa"/>
            <w:tcBorders/>
            <w:shd w:color="auto" w:fill="auto" w:val="clear"/>
          </w:tcPr>
          <w:p>
            <w:pPr>
              <w:pStyle w:val="Normal"/>
              <w:rPr>
                <w:sz w:val="24"/>
                <w:szCs w:val="24"/>
              </w:rPr>
            </w:pPr>
            <w:r>
              <w:rPr>
                <w:sz w:val="24"/>
                <w:szCs w:val="24"/>
              </w:rPr>
              <w:t xml:space="preserve">Dow AgroSciences s.r.o. - organizačná zložka, </w:t>
            </w:r>
          </w:p>
          <w:p>
            <w:pPr>
              <w:pStyle w:val="Normal"/>
              <w:rPr>
                <w:sz w:val="24"/>
                <w:szCs w:val="24"/>
              </w:rPr>
            </w:pPr>
            <w:r>
              <w:rPr>
                <w:sz w:val="24"/>
                <w:szCs w:val="24"/>
              </w:rPr>
              <w:t xml:space="preserve">Hlavné námestie 3, </w:t>
            </w:r>
          </w:p>
          <w:p>
            <w:pPr>
              <w:pStyle w:val="Normal"/>
              <w:rPr>
                <w:sz w:val="24"/>
                <w:szCs w:val="24"/>
              </w:rPr>
            </w:pPr>
            <w:r>
              <w:rPr>
                <w:sz w:val="24"/>
                <w:szCs w:val="24"/>
              </w:rPr>
              <w:t>811 01 Bratislava</w:t>
            </w:r>
          </w:p>
          <w:p>
            <w:pPr>
              <w:pStyle w:val="Normal"/>
              <w:tabs>
                <w:tab w:val="left" w:pos="3969" w:leader="none"/>
              </w:tabs>
              <w:rPr>
                <w:bCs/>
                <w:color w:val="A6A6A6"/>
                <w:sz w:val="24"/>
                <w:szCs w:val="24"/>
              </w:rPr>
            </w:pPr>
            <w:r>
              <w:rPr>
                <w:bCs/>
                <w:color w:val="A6A6A6"/>
                <w:sz w:val="24"/>
                <w:szCs w:val="24"/>
              </w:rPr>
            </w:r>
          </w:p>
        </w:tc>
      </w:tr>
      <w:tr>
        <w:trPr/>
        <w:tc>
          <w:tcPr>
            <w:tcW w:w="3686" w:type="dxa"/>
            <w:tcBorders/>
            <w:shd w:color="auto" w:fill="auto" w:val="clear"/>
          </w:tcPr>
          <w:p>
            <w:pPr>
              <w:pStyle w:val="Normal"/>
              <w:rPr>
                <w:b/>
                <w:b/>
                <w:bCs/>
                <w:sz w:val="24"/>
                <w:szCs w:val="24"/>
              </w:rPr>
            </w:pPr>
            <w:r>
              <w:rPr>
                <w:b/>
                <w:bCs/>
                <w:sz w:val="24"/>
                <w:szCs w:val="24"/>
              </w:rPr>
            </w:r>
          </w:p>
        </w:tc>
        <w:tc>
          <w:tcPr>
            <w:tcW w:w="5953" w:type="dxa"/>
            <w:tcBorders/>
            <w:shd w:color="auto" w:fill="auto" w:val="clear"/>
          </w:tcPr>
          <w:p>
            <w:pPr>
              <w:pStyle w:val="Normal"/>
              <w:tabs>
                <w:tab w:val="left" w:pos="3969" w:leader="none"/>
              </w:tabs>
              <w:rPr>
                <w:bCs/>
                <w:color w:val="A6A6A6"/>
                <w:sz w:val="24"/>
                <w:szCs w:val="24"/>
              </w:rPr>
            </w:pPr>
            <w:r>
              <w:rPr>
                <w:bCs/>
                <w:color w:val="A6A6A6"/>
                <w:sz w:val="24"/>
                <w:szCs w:val="24"/>
              </w:rPr>
            </w:r>
          </w:p>
        </w:tc>
      </w:tr>
      <w:tr>
        <w:trPr/>
        <w:tc>
          <w:tcPr>
            <w:tcW w:w="3686" w:type="dxa"/>
            <w:tcBorders/>
            <w:shd w:color="auto" w:fill="auto" w:val="clear"/>
          </w:tcPr>
          <w:p>
            <w:pPr>
              <w:pStyle w:val="Normal"/>
              <w:tabs>
                <w:tab w:val="left" w:pos="3969" w:leader="none"/>
              </w:tabs>
              <w:rPr>
                <w:b/>
                <w:b/>
                <w:bCs/>
                <w:sz w:val="24"/>
                <w:szCs w:val="24"/>
              </w:rPr>
            </w:pPr>
            <w:r>
              <w:rPr>
                <w:b/>
                <w:bCs/>
                <w:sz w:val="24"/>
                <w:szCs w:val="24"/>
              </w:rPr>
              <w:t>Číslo autorizácie ÚKSÚP</w:t>
            </w:r>
            <w:r>
              <w:rPr>
                <w:b/>
                <w:sz w:val="24"/>
                <w:szCs w:val="24"/>
              </w:rPr>
              <w:t xml:space="preserve">: </w:t>
            </w:r>
          </w:p>
        </w:tc>
        <w:tc>
          <w:tcPr>
            <w:tcW w:w="5953" w:type="dxa"/>
            <w:tcBorders/>
            <w:shd w:color="auto" w:fill="auto" w:val="clear"/>
          </w:tcPr>
          <w:p>
            <w:pPr>
              <w:pStyle w:val="Normal"/>
              <w:tabs>
                <w:tab w:val="left" w:pos="3969" w:leader="none"/>
              </w:tabs>
              <w:rPr>
                <w:b/>
                <w:b/>
                <w:bCs/>
                <w:color w:val="A6A6A6"/>
                <w:sz w:val="24"/>
                <w:szCs w:val="24"/>
              </w:rPr>
            </w:pPr>
            <w:r>
              <w:rPr>
                <w:b/>
                <w:sz w:val="28"/>
                <w:szCs w:val="28"/>
              </w:rPr>
              <w:t>3429</w:t>
            </w:r>
          </w:p>
        </w:tc>
      </w:tr>
      <w:tr>
        <w:trPr/>
        <w:tc>
          <w:tcPr>
            <w:tcW w:w="3686" w:type="dxa"/>
            <w:tcBorders/>
            <w:shd w:color="auto" w:fill="auto" w:val="clear"/>
          </w:tcPr>
          <w:p>
            <w:pPr>
              <w:pStyle w:val="Normal"/>
              <w:tabs>
                <w:tab w:val="left" w:pos="3969" w:leader="none"/>
              </w:tabs>
              <w:rPr>
                <w:b/>
                <w:b/>
                <w:bCs/>
                <w:sz w:val="24"/>
                <w:szCs w:val="24"/>
              </w:rPr>
            </w:pPr>
            <w:r>
              <w:rPr>
                <w:b/>
                <w:bCs/>
                <w:sz w:val="24"/>
                <w:szCs w:val="24"/>
              </w:rPr>
            </w:r>
          </w:p>
        </w:tc>
        <w:tc>
          <w:tcPr>
            <w:tcW w:w="5953" w:type="dxa"/>
            <w:tcBorders/>
            <w:shd w:color="auto" w:fill="auto" w:val="clear"/>
          </w:tcPr>
          <w:p>
            <w:pPr>
              <w:pStyle w:val="Normal"/>
              <w:tabs>
                <w:tab w:val="left" w:pos="3969" w:leader="none"/>
              </w:tabs>
              <w:rPr>
                <w:b/>
                <w:b/>
                <w:color w:val="A6A6A6"/>
                <w:sz w:val="28"/>
                <w:szCs w:val="28"/>
              </w:rPr>
            </w:pPr>
            <w:r>
              <w:rPr>
                <w:b/>
                <w:color w:val="A6A6A6"/>
                <w:sz w:val="28"/>
                <w:szCs w:val="28"/>
              </w:rPr>
            </w:r>
          </w:p>
        </w:tc>
      </w:tr>
      <w:tr>
        <w:trPr/>
        <w:tc>
          <w:tcPr>
            <w:tcW w:w="3686" w:type="dxa"/>
            <w:tcBorders/>
            <w:shd w:color="auto" w:fill="auto" w:val="clear"/>
          </w:tcPr>
          <w:p>
            <w:pPr>
              <w:pStyle w:val="Normal"/>
              <w:tabs>
                <w:tab w:val="left" w:pos="3969" w:leader="none"/>
              </w:tabs>
              <w:rPr>
                <w:b/>
                <w:b/>
                <w:bCs/>
                <w:sz w:val="24"/>
                <w:szCs w:val="24"/>
              </w:rPr>
            </w:pPr>
            <w:r>
              <w:rPr>
                <w:b/>
                <w:bCs/>
                <w:sz w:val="24"/>
                <w:szCs w:val="24"/>
              </w:rPr>
              <w:t>Dátum výroby</w:t>
            </w:r>
            <w:r>
              <w:rPr>
                <w:sz w:val="24"/>
                <w:szCs w:val="24"/>
              </w:rPr>
              <w:t>:</w:t>
            </w:r>
          </w:p>
        </w:tc>
        <w:tc>
          <w:tcPr>
            <w:tcW w:w="5953" w:type="dxa"/>
            <w:tcBorders/>
            <w:shd w:color="auto" w:fill="auto" w:val="clear"/>
          </w:tcPr>
          <w:p>
            <w:pPr>
              <w:pStyle w:val="Normal"/>
              <w:tabs>
                <w:tab w:val="left" w:pos="3969" w:leader="none"/>
              </w:tabs>
              <w:rPr>
                <w:b/>
                <w:b/>
                <w:bCs/>
                <w:sz w:val="24"/>
                <w:szCs w:val="24"/>
              </w:rPr>
            </w:pPr>
            <w:r>
              <w:rPr>
                <w:sz w:val="24"/>
                <w:szCs w:val="24"/>
              </w:rPr>
              <w:t>uvedené na obale</w:t>
            </w:r>
          </w:p>
        </w:tc>
      </w:tr>
      <w:tr>
        <w:trPr/>
        <w:tc>
          <w:tcPr>
            <w:tcW w:w="3686" w:type="dxa"/>
            <w:tcBorders/>
            <w:shd w:color="auto" w:fill="auto" w:val="clear"/>
          </w:tcPr>
          <w:p>
            <w:pPr>
              <w:pStyle w:val="Normal"/>
              <w:tabs>
                <w:tab w:val="left" w:pos="3969" w:leader="none"/>
              </w:tabs>
              <w:rPr>
                <w:b/>
                <w:b/>
                <w:bCs/>
                <w:sz w:val="24"/>
                <w:szCs w:val="24"/>
              </w:rPr>
            </w:pPr>
            <w:r>
              <w:rPr>
                <w:b/>
                <w:bCs/>
                <w:sz w:val="24"/>
                <w:szCs w:val="24"/>
              </w:rPr>
              <w:t>Číslo výrobnej šarže</w:t>
            </w:r>
            <w:r>
              <w:rPr>
                <w:sz w:val="24"/>
                <w:szCs w:val="24"/>
              </w:rPr>
              <w:t>:</w:t>
            </w:r>
          </w:p>
        </w:tc>
        <w:tc>
          <w:tcPr>
            <w:tcW w:w="5953" w:type="dxa"/>
            <w:tcBorders/>
            <w:shd w:color="auto" w:fill="auto" w:val="clear"/>
          </w:tcPr>
          <w:p>
            <w:pPr>
              <w:pStyle w:val="Normal"/>
              <w:tabs>
                <w:tab w:val="left" w:pos="3969" w:leader="none"/>
              </w:tabs>
              <w:rPr>
                <w:b/>
                <w:b/>
                <w:bCs/>
                <w:sz w:val="24"/>
                <w:szCs w:val="24"/>
              </w:rPr>
            </w:pPr>
            <w:r>
              <w:rPr>
                <w:sz w:val="24"/>
                <w:szCs w:val="24"/>
              </w:rPr>
              <w:t>uvedené na obale</w:t>
            </w:r>
          </w:p>
        </w:tc>
      </w:tr>
      <w:tr>
        <w:trPr/>
        <w:tc>
          <w:tcPr>
            <w:tcW w:w="3686" w:type="dxa"/>
            <w:tcBorders/>
            <w:shd w:color="auto" w:fill="auto" w:val="clear"/>
          </w:tcPr>
          <w:p>
            <w:pPr>
              <w:pStyle w:val="Normal"/>
              <w:tabs>
                <w:tab w:val="left" w:pos="3969" w:leader="none"/>
              </w:tabs>
              <w:rPr>
                <w:b/>
                <w:b/>
                <w:bCs/>
                <w:sz w:val="24"/>
                <w:szCs w:val="24"/>
              </w:rPr>
            </w:pPr>
            <w:r>
              <w:rPr>
                <w:b/>
                <w:bCs/>
                <w:sz w:val="24"/>
                <w:szCs w:val="24"/>
              </w:rPr>
            </w:r>
          </w:p>
        </w:tc>
        <w:tc>
          <w:tcPr>
            <w:tcW w:w="5953" w:type="dxa"/>
            <w:tcBorders/>
            <w:shd w:color="auto" w:fill="auto" w:val="clear"/>
          </w:tcPr>
          <w:p>
            <w:pPr>
              <w:pStyle w:val="Normal"/>
              <w:tabs>
                <w:tab w:val="left" w:pos="3969" w:leader="none"/>
              </w:tabs>
              <w:rPr>
                <w:sz w:val="24"/>
                <w:szCs w:val="24"/>
              </w:rPr>
            </w:pPr>
            <w:r>
              <w:rPr>
                <w:sz w:val="24"/>
                <w:szCs w:val="24"/>
              </w:rPr>
            </w:r>
          </w:p>
        </w:tc>
      </w:tr>
      <w:tr>
        <w:trPr/>
        <w:tc>
          <w:tcPr>
            <w:tcW w:w="3686" w:type="dxa"/>
            <w:tcBorders/>
            <w:shd w:color="auto" w:fill="auto" w:val="clear"/>
          </w:tcPr>
          <w:p>
            <w:pPr>
              <w:pStyle w:val="Normal"/>
              <w:tabs>
                <w:tab w:val="left" w:pos="3969" w:leader="none"/>
              </w:tabs>
              <w:rPr>
                <w:b/>
                <w:b/>
                <w:bCs/>
                <w:sz w:val="24"/>
                <w:szCs w:val="24"/>
              </w:rPr>
            </w:pPr>
            <w:r>
              <w:rPr>
                <w:b/>
                <w:bCs/>
                <w:sz w:val="24"/>
                <w:szCs w:val="24"/>
              </w:rPr>
            </w:r>
          </w:p>
          <w:p>
            <w:pPr>
              <w:pStyle w:val="Normal"/>
              <w:tabs>
                <w:tab w:val="left" w:pos="3969" w:leader="none"/>
              </w:tabs>
              <w:rPr>
                <w:b/>
                <w:b/>
                <w:bCs/>
                <w:color w:val="A6A6A6"/>
                <w:sz w:val="24"/>
                <w:szCs w:val="24"/>
              </w:rPr>
            </w:pPr>
            <w:r>
              <w:rPr>
                <w:b/>
                <w:bCs/>
                <w:sz w:val="24"/>
                <w:szCs w:val="24"/>
              </w:rPr>
              <w:t xml:space="preserve">Balenie: </w:t>
            </w:r>
          </w:p>
          <w:p>
            <w:pPr>
              <w:pStyle w:val="Normal"/>
              <w:tabs>
                <w:tab w:val="left" w:pos="3969" w:leader="none"/>
              </w:tabs>
              <w:rPr>
                <w:b/>
                <w:b/>
                <w:bCs/>
                <w:color w:val="A6A6A6"/>
                <w:sz w:val="24"/>
                <w:szCs w:val="24"/>
              </w:rPr>
            </w:pPr>
            <w:r>
              <w:rPr>
                <w:b/>
                <w:bCs/>
                <w:color w:val="A6A6A6"/>
                <w:sz w:val="24"/>
                <w:szCs w:val="24"/>
              </w:rPr>
            </w:r>
          </w:p>
        </w:tc>
        <w:tc>
          <w:tcPr>
            <w:tcW w:w="5953" w:type="dxa"/>
            <w:tcBorders/>
            <w:shd w:color="auto" w:fill="auto" w:val="clear"/>
          </w:tcPr>
          <w:p>
            <w:pPr>
              <w:pStyle w:val="Normal"/>
              <w:tabs>
                <w:tab w:val="left" w:pos="3969" w:leader="none"/>
              </w:tabs>
              <w:rPr>
                <w:sz w:val="24"/>
                <w:szCs w:val="24"/>
              </w:rPr>
            </w:pPr>
            <w:r>
              <w:rPr>
                <w:sz w:val="24"/>
                <w:szCs w:val="24"/>
              </w:rPr>
            </w:r>
          </w:p>
          <w:p>
            <w:pPr>
              <w:pStyle w:val="Normal"/>
              <w:tabs>
                <w:tab w:val="left" w:pos="3969" w:leader="none"/>
              </w:tabs>
              <w:rPr>
                <w:sz w:val="24"/>
                <w:szCs w:val="24"/>
              </w:rPr>
            </w:pPr>
            <w:r>
              <w:rPr>
                <w:sz w:val="24"/>
                <w:szCs w:val="24"/>
              </w:rPr>
              <w:t>1 l PET fľaša</w:t>
            </w:r>
          </w:p>
          <w:p>
            <w:pPr>
              <w:pStyle w:val="Normal"/>
              <w:tabs>
                <w:tab w:val="left" w:pos="3969" w:leader="none"/>
              </w:tabs>
              <w:rPr>
                <w:sz w:val="24"/>
                <w:szCs w:val="24"/>
              </w:rPr>
            </w:pPr>
            <w:r>
              <w:rPr>
                <w:sz w:val="24"/>
                <w:szCs w:val="24"/>
              </w:rPr>
              <w:t>5 l PET fľaša</w:t>
            </w:r>
          </w:p>
        </w:tc>
      </w:tr>
    </w:tbl>
    <w:p>
      <w:pPr>
        <w:pStyle w:val="Normal"/>
        <w:jc w:val="both"/>
        <w:rPr>
          <w:sz w:val="24"/>
          <w:szCs w:val="24"/>
        </w:rPr>
      </w:pPr>
      <w:r>
        <w:rPr>
          <w:sz w:val="24"/>
          <w:szCs w:val="24"/>
        </w:rPr>
      </w:r>
    </w:p>
    <w:p>
      <w:pPr>
        <w:pStyle w:val="Normal"/>
        <w:jc w:val="both"/>
        <w:rPr>
          <w:sz w:val="24"/>
          <w:szCs w:val="24"/>
        </w:rPr>
      </w:pPr>
      <w:r>
        <w:rPr>
          <w:sz w:val="24"/>
          <w:szCs w:val="24"/>
        </w:rPr>
        <w:t>Informačná služba firmy Dow AgroSciences (+421) 02/5443 5863.</w:t>
      </w:r>
    </w:p>
    <w:p>
      <w:pPr>
        <w:pStyle w:val="Normal"/>
        <w:jc w:val="both"/>
        <w:rPr>
          <w:sz w:val="24"/>
          <w:szCs w:val="24"/>
        </w:rPr>
      </w:pPr>
      <w:r>
        <w:rPr>
          <w:sz w:val="24"/>
          <w:szCs w:val="24"/>
        </w:rPr>
      </w:r>
    </w:p>
    <w:p>
      <w:pPr>
        <w:pStyle w:val="NormalIndent"/>
        <w:ind w:left="0" w:hanging="0"/>
        <w:rPr>
          <w:b/>
          <w:b/>
          <w:sz w:val="24"/>
          <w:szCs w:val="24"/>
          <w:lang w:val="sk-SK"/>
        </w:rPr>
      </w:pPr>
      <w:r>
        <w:rPr>
          <w:b/>
          <w:sz w:val="24"/>
          <w:szCs w:val="24"/>
          <w:lang w:val="sk-SK"/>
        </w:rPr>
        <w:t>PÔSOBENIE PRÍPRAVKU</w:t>
      </w:r>
    </w:p>
    <w:p>
      <w:pPr>
        <w:pStyle w:val="NormalIndent"/>
        <w:ind w:left="0" w:hanging="0"/>
        <w:jc w:val="both"/>
        <w:rPr>
          <w:sz w:val="24"/>
          <w:szCs w:val="24"/>
          <w:lang w:val="sk-SK"/>
        </w:rPr>
      </w:pPr>
      <w:r>
        <w:rPr>
          <w:sz w:val="24"/>
          <w:szCs w:val="24"/>
          <w:lang w:val="sk-SK"/>
        </w:rPr>
        <w:t>Prípravok LONTREL* 300 pôsobí ako systémový rastový herbicíd, preniká do rastlín cez listy a byle. Citlivé buriny krátko po postreku zastavujú rast, postupne strácajú prirodzenú farbu (dekolorácia), následne sa objavuje krútenie listov a stoniek (deformácia) a v priebehu 10-21 dní hynú. Prvé symptómy sú viditeľné pri optimálnych podmienkach za 3-6 dní po aplikácii prípravku LONTREL 300. Účinná látka clopyralid sa v pôde rýchlo rozkladá vplyvom činnosti mikroorganizmov.</w:t>
      </w:r>
    </w:p>
    <w:p>
      <w:pPr>
        <w:pStyle w:val="NormalIndent"/>
        <w:ind w:left="0" w:hanging="0"/>
        <w:jc w:val="both"/>
        <w:rPr>
          <w:sz w:val="24"/>
          <w:szCs w:val="24"/>
          <w:lang w:val="sk-SK"/>
        </w:rPr>
      </w:pPr>
      <w:r>
        <w:rPr>
          <w:sz w:val="24"/>
          <w:szCs w:val="24"/>
          <w:lang w:val="sk-SK"/>
        </w:rPr>
      </w:r>
    </w:p>
    <w:p>
      <w:pPr>
        <w:pStyle w:val="Normal"/>
        <w:ind w:right="-1" w:hanging="0"/>
        <w:jc w:val="both"/>
        <w:rPr>
          <w:b/>
          <w:b/>
          <w:sz w:val="24"/>
          <w:szCs w:val="24"/>
        </w:rPr>
      </w:pPr>
      <w:r>
        <w:rPr>
          <w:b/>
          <w:caps/>
          <w:sz w:val="24"/>
          <w:szCs w:val="24"/>
        </w:rPr>
        <w:t>Spektrum herbicídnej účinnosti</w:t>
      </w:r>
    </w:p>
    <w:p>
      <w:pPr>
        <w:pStyle w:val="Normal"/>
        <w:jc w:val="both"/>
        <w:rPr>
          <w:sz w:val="24"/>
          <w:szCs w:val="24"/>
        </w:rPr>
      </w:pPr>
      <w:r>
        <w:rPr>
          <w:b/>
          <w:sz w:val="24"/>
          <w:szCs w:val="24"/>
        </w:rPr>
        <w:t>Citlivé buriny:</w:t>
      </w:r>
      <w:r>
        <w:rPr>
          <w:sz w:val="24"/>
          <w:szCs w:val="24"/>
        </w:rPr>
        <w:t xml:space="preserve"> pichliač roľný, ruman roľný, rumančeky a parumanček nevoňavý, chryzantémovka siatinová, turanec kanadský, lopúchy, podbeľ liečivý, nevädza poľná, výmrv slnečnice a ďalšie buriny z čeľade astrovité, stavikrvy a horčiaky, pohánkovec ovíjavý, lucerna siata, ľuľok čierny, ľuľok zemiakový, tetucha kozia a ďalšie buriny z čeľade mrkvovité.</w:t>
      </w:r>
    </w:p>
    <w:p>
      <w:pPr>
        <w:pStyle w:val="NormalIndent"/>
        <w:ind w:left="0" w:hanging="0"/>
        <w:jc w:val="both"/>
        <w:rPr>
          <w:sz w:val="24"/>
          <w:szCs w:val="24"/>
          <w:lang w:val="sk-SK"/>
        </w:rPr>
      </w:pPr>
      <w:r>
        <w:rPr>
          <w:b/>
          <w:sz w:val="24"/>
          <w:szCs w:val="24"/>
          <w:lang w:val="sk-SK"/>
        </w:rPr>
        <w:t xml:space="preserve">Odolné buriny: </w:t>
      </w:r>
      <w:r>
        <w:rPr>
          <w:sz w:val="24"/>
          <w:szCs w:val="24"/>
          <w:lang w:val="sk-SK"/>
        </w:rPr>
        <w:t>hluchavky a kapustovité buriny.</w:t>
      </w:r>
    </w:p>
    <w:p>
      <w:pPr>
        <w:pStyle w:val="NormalIndent"/>
        <w:ind w:left="0" w:hanging="0"/>
        <w:rPr>
          <w:sz w:val="24"/>
          <w:szCs w:val="24"/>
          <w:lang w:val="sk-SK"/>
        </w:rPr>
      </w:pPr>
      <w:r>
        <w:rPr>
          <w:sz w:val="24"/>
          <w:szCs w:val="24"/>
          <w:lang w:val="sk-SK"/>
        </w:rPr>
      </w:r>
    </w:p>
    <w:p>
      <w:pPr>
        <w:pStyle w:val="Normal"/>
        <w:spacing w:before="0" w:after="120"/>
        <w:jc w:val="both"/>
        <w:rPr>
          <w:b/>
          <w:b/>
          <w:sz w:val="24"/>
          <w:szCs w:val="24"/>
        </w:rPr>
      </w:pPr>
      <w:r>
        <w:rPr>
          <w:b/>
          <w:sz w:val="24"/>
          <w:szCs w:val="24"/>
        </w:rPr>
      </w:r>
    </w:p>
    <w:p>
      <w:pPr>
        <w:pStyle w:val="Normal"/>
        <w:spacing w:before="0" w:after="120"/>
        <w:jc w:val="both"/>
        <w:rPr>
          <w:b/>
          <w:b/>
          <w:sz w:val="24"/>
          <w:szCs w:val="24"/>
        </w:rPr>
      </w:pPr>
      <w:r>
        <w:rPr>
          <w:b/>
          <w:sz w:val="24"/>
          <w:szCs w:val="24"/>
        </w:rPr>
        <w:t xml:space="preserve">NÁVOD NA POUŽITIE </w:t>
      </w:r>
    </w:p>
    <w:tbl>
      <w:tblPr>
        <w:tblW w:w="9796"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2424"/>
        <w:gridCol w:w="2270"/>
        <w:gridCol w:w="2124"/>
        <w:gridCol w:w="709"/>
        <w:gridCol w:w="2269"/>
      </w:tblGrid>
      <w:tr>
        <w:trPr>
          <w:tblHeader w:val="true"/>
          <w:trHeight w:val="450" w:hRule="atLeast"/>
        </w:trPr>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65" w:type="dxa"/>
            </w:tcMar>
            <w:vAlign w:val="center"/>
          </w:tcPr>
          <w:p>
            <w:pPr>
              <w:pStyle w:val="Normal"/>
              <w:rPr>
                <w:b/>
                <w:b/>
                <w:sz w:val="24"/>
                <w:szCs w:val="24"/>
              </w:rPr>
            </w:pPr>
            <w:r>
              <w:rPr>
                <w:b/>
                <w:sz w:val="24"/>
                <w:szCs w:val="24"/>
              </w:rPr>
              <w:t>Plodina</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65" w:type="dxa"/>
            </w:tcMar>
            <w:vAlign w:val="center"/>
          </w:tcPr>
          <w:p>
            <w:pPr>
              <w:pStyle w:val="Normal"/>
              <w:rPr>
                <w:b/>
                <w:b/>
                <w:sz w:val="24"/>
                <w:szCs w:val="24"/>
              </w:rPr>
            </w:pPr>
            <w:r>
              <w:rPr>
                <w:b/>
                <w:sz w:val="24"/>
                <w:szCs w:val="24"/>
              </w:rPr>
              <w:t>Účel použitia</w:t>
            </w:r>
          </w:p>
        </w:tc>
        <w:tc>
          <w:tcPr>
            <w:tcW w:w="2124" w:type="dxa"/>
            <w:tcBorders>
              <w:top w:val="single" w:sz="4" w:space="0" w:color="00000A"/>
              <w:bottom w:val="single" w:sz="4" w:space="0" w:color="00000A"/>
              <w:right w:val="single" w:sz="4" w:space="0" w:color="00000A"/>
              <w:insideH w:val="single" w:sz="4" w:space="0" w:color="00000A"/>
              <w:insideV w:val="single" w:sz="4" w:space="0" w:color="00000A"/>
            </w:tcBorders>
            <w:shd w:color="auto" w:fill="E0E0E0" w:val="clear"/>
            <w:vAlign w:val="center"/>
          </w:tcPr>
          <w:p>
            <w:pPr>
              <w:pStyle w:val="Normal"/>
              <w:rPr>
                <w:b/>
                <w:b/>
                <w:sz w:val="24"/>
                <w:szCs w:val="24"/>
              </w:rPr>
            </w:pPr>
            <w:r>
              <w:rPr>
                <w:b/>
                <w:sz w:val="24"/>
                <w:szCs w:val="24"/>
              </w:rPr>
              <w:t>Dávka / ha</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color="auto" w:fill="E0E0E0" w:val="clear"/>
            <w:vAlign w:val="center"/>
          </w:tcPr>
          <w:p>
            <w:pPr>
              <w:pStyle w:val="Normal"/>
              <w:ind w:right="-70" w:hanging="0"/>
              <w:rPr>
                <w:b/>
                <w:b/>
                <w:sz w:val="24"/>
                <w:szCs w:val="24"/>
              </w:rPr>
            </w:pPr>
            <w:r>
              <w:rPr>
                <w:b/>
                <w:sz w:val="24"/>
                <w:szCs w:val="24"/>
              </w:rPr>
              <w:t>Ochr.</w:t>
            </w:r>
          </w:p>
          <w:p>
            <w:pPr>
              <w:pStyle w:val="Normal"/>
              <w:ind w:right="-70" w:hanging="0"/>
              <w:rPr>
                <w:b/>
                <w:b/>
                <w:sz w:val="24"/>
                <w:szCs w:val="24"/>
              </w:rPr>
            </w:pPr>
            <w:r>
              <w:rPr>
                <w:b/>
                <w:sz w:val="24"/>
                <w:szCs w:val="24"/>
              </w:rPr>
              <w:t>doba</w:t>
            </w:r>
          </w:p>
        </w:tc>
        <w:tc>
          <w:tcPr>
            <w:tcW w:w="2269" w:type="dxa"/>
            <w:tcBorders>
              <w:top w:val="single" w:sz="4" w:space="0" w:color="00000A"/>
              <w:bottom w:val="single" w:sz="4" w:space="0" w:color="00000A"/>
              <w:right w:val="single" w:sz="4" w:space="0" w:color="00000A"/>
              <w:insideH w:val="single" w:sz="4" w:space="0" w:color="00000A"/>
              <w:insideV w:val="single" w:sz="4" w:space="0" w:color="00000A"/>
            </w:tcBorders>
            <w:shd w:color="auto" w:fill="E0E0E0" w:val="clear"/>
            <w:vAlign w:val="center"/>
          </w:tcPr>
          <w:p>
            <w:pPr>
              <w:pStyle w:val="Normal"/>
              <w:rPr>
                <w:b/>
                <w:b/>
                <w:sz w:val="24"/>
                <w:szCs w:val="24"/>
              </w:rPr>
            </w:pPr>
            <w:r>
              <w:rPr>
                <w:b/>
                <w:sz w:val="24"/>
                <w:szCs w:val="24"/>
              </w:rPr>
              <w:t>Poznámka</w:t>
            </w:r>
          </w:p>
        </w:tc>
      </w:tr>
      <w:tr>
        <w:trPr>
          <w:trHeight w:val="450" w:hRule="atLeast"/>
        </w:trPr>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jačmeň jarný, jačmeň ozimný, ovos, pšenica jarná, pšenica ozimná</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odolné dvojklíčnolistové buriny, pichliač</w:t>
            </w:r>
          </w:p>
        </w:tc>
        <w:tc>
          <w:tcPr>
            <w:tcW w:w="2124"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Indent"/>
              <w:ind w:left="0" w:hanging="0"/>
              <w:jc w:val="both"/>
              <w:rPr>
                <w:sz w:val="22"/>
                <w:szCs w:val="22"/>
                <w:lang w:val="sk-SK"/>
              </w:rPr>
            </w:pPr>
            <w:r>
              <w:rPr>
                <w:sz w:val="22"/>
                <w:szCs w:val="22"/>
                <w:lang w:val="sk-SK"/>
              </w:rPr>
              <w:t>0,3 l + (1 l)</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Indent"/>
              <w:ind w:left="0" w:hanging="0"/>
              <w:rPr>
                <w:sz w:val="22"/>
                <w:szCs w:val="22"/>
                <w:lang w:val="sk-SK"/>
              </w:rPr>
            </w:pPr>
            <w:r>
              <w:rPr>
                <w:sz w:val="22"/>
                <w:szCs w:val="22"/>
                <w:lang w:val="sk-SK"/>
              </w:rPr>
              <w:t>(TM) OPTICA</w:t>
            </w:r>
          </w:p>
        </w:tc>
      </w:tr>
      <w:tr>
        <w:trPr>
          <w:trHeight w:val="255" w:hRule="atLeast"/>
        </w:trPr>
        <w:tc>
          <w:tcPr>
            <w:tcW w:w="24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 xml:space="preserve">jačmeň jarný, jačmeň ozimný, pšenica jarná, pšenica ozimná, raž, tritikale </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rumančekovité  buriny, pichliač</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Indent"/>
              <w:ind w:left="0" w:hanging="0"/>
              <w:jc w:val="both"/>
              <w:rPr>
                <w:sz w:val="22"/>
                <w:szCs w:val="22"/>
                <w:lang w:val="sk-SK"/>
              </w:rPr>
            </w:pPr>
            <w:r>
              <w:rPr>
                <w:sz w:val="22"/>
                <w:szCs w:val="22"/>
                <w:lang w:val="sk-SK"/>
              </w:rPr>
              <w:t>0,3-0,4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Indent"/>
              <w:ind w:left="0" w:hanging="0"/>
              <w:rPr>
                <w:sz w:val="22"/>
                <w:szCs w:val="22"/>
                <w:lang w:val="sk-SK"/>
              </w:rPr>
            </w:pPr>
            <w:r>
              <w:rPr>
                <w:sz w:val="22"/>
                <w:szCs w:val="22"/>
                <w:lang w:val="sk-SK"/>
              </w:rPr>
            </w:r>
          </w:p>
        </w:tc>
      </w:tr>
      <w:tr>
        <w:trPr>
          <w:trHeight w:val="450" w:hRule="atLeast"/>
        </w:trPr>
        <w:tc>
          <w:tcPr>
            <w:tcW w:w="2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odolné dvojklíčnolistové buriny</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(1-1,25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PARDNER 22,5 EC, BROMOTRIL 25 SC</w:t>
            </w:r>
          </w:p>
        </w:tc>
      </w:tr>
      <w:tr>
        <w:trPr>
          <w:trHeight w:val="255" w:hRule="atLeast"/>
        </w:trPr>
        <w:tc>
          <w:tcPr>
            <w:tcW w:w="2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odolné dvojklíčnolistové buriny, pichliač</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(1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AGRITOX 50 SL</w:t>
            </w:r>
          </w:p>
        </w:tc>
      </w:tr>
      <w:tr>
        <w:trPr>
          <w:trHeight w:val="255" w:hRule="atLeast"/>
        </w:trPr>
        <w:tc>
          <w:tcPr>
            <w:tcW w:w="2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(1,1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U 46 M FLUID</w:t>
            </w:r>
          </w:p>
        </w:tc>
      </w:tr>
      <w:tr>
        <w:trPr>
          <w:trHeight w:val="255" w:hRule="atLeast"/>
        </w:trPr>
        <w:tc>
          <w:tcPr>
            <w:tcW w:w="2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(1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AMINEX 500 SL</w:t>
            </w:r>
          </w:p>
        </w:tc>
      </w:tr>
      <w:tr>
        <w:trPr>
          <w:trHeight w:val="538" w:hRule="atLeast"/>
        </w:trPr>
        <w:tc>
          <w:tcPr>
            <w:tcW w:w="2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(0,7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DICOPUR M 750,  DICOHERB M 750, AGROXONE</w:t>
            </w:r>
          </w:p>
        </w:tc>
      </w:tr>
      <w:tr>
        <w:trPr>
          <w:trHeight w:val="119" w:hRule="atLeast"/>
        </w:trPr>
        <w:tc>
          <w:tcPr>
            <w:tcW w:w="2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Indent"/>
              <w:ind w:left="0" w:hanging="0"/>
              <w:jc w:val="both"/>
              <w:rPr>
                <w:sz w:val="22"/>
                <w:szCs w:val="22"/>
                <w:lang w:val="sk-SK"/>
              </w:rPr>
            </w:pPr>
            <w:r>
              <w:rPr>
                <w:sz w:val="22"/>
                <w:szCs w:val="22"/>
                <w:lang w:val="sk-SK"/>
              </w:rPr>
              <w:t>0,3 l + (0,5-0,8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Indent"/>
              <w:ind w:left="0" w:hanging="0"/>
              <w:rPr>
                <w:sz w:val="22"/>
                <w:szCs w:val="22"/>
                <w:lang w:val="sk-SK"/>
              </w:rPr>
            </w:pPr>
            <w:r>
              <w:rPr>
                <w:sz w:val="22"/>
                <w:szCs w:val="22"/>
                <w:lang w:val="sk-SK"/>
              </w:rPr>
              <w:t>(TM) ESTERON</w:t>
            </w:r>
          </w:p>
        </w:tc>
      </w:tr>
      <w:tr>
        <w:trPr>
          <w:trHeight w:val="675" w:hRule="atLeast"/>
        </w:trPr>
        <w:tc>
          <w:tcPr>
            <w:tcW w:w="2424" w:type="dxa"/>
            <w:vMerge w:val="restart"/>
            <w:tcBorders>
              <w:top w:val="single" w:sz="4" w:space="0" w:color="00000A"/>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ovos</w:t>
            </w:r>
          </w:p>
        </w:tc>
        <w:tc>
          <w:tcPr>
            <w:tcW w:w="2270" w:type="dxa"/>
            <w:tcBorders>
              <w:top w:val="single" w:sz="4" w:space="0" w:color="00000A"/>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odolné dvojklíčnolistové buriny</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(1-1,25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PARDNER 22,5 EC, BROMOTRIL 25 SC</w:t>
            </w:r>
          </w:p>
        </w:tc>
      </w:tr>
      <w:tr>
        <w:trPr>
          <w:trHeight w:val="151" w:hRule="atLeast"/>
        </w:trPr>
        <w:tc>
          <w:tcPr>
            <w:tcW w:w="2424" w:type="dxa"/>
            <w:vMerge w:val="continue"/>
            <w:tcBorders>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r>
          </w:p>
        </w:tc>
        <w:tc>
          <w:tcPr>
            <w:tcW w:w="2270" w:type="dxa"/>
            <w:vMerge w:val="restart"/>
            <w:tcBorders>
              <w:top w:val="single" w:sz="4" w:space="0" w:color="00000A"/>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odolné dvojklíčnolistové buriny, pichliač</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(1 l)</w:t>
            </w:r>
          </w:p>
        </w:tc>
        <w:tc>
          <w:tcPr>
            <w:tcW w:w="709"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2" w:type="dxa"/>
            </w:tcMar>
          </w:tcPr>
          <w:p>
            <w:pPr>
              <w:pStyle w:val="NormalIndent"/>
              <w:ind w:left="0" w:hanging="0"/>
              <w:rPr>
                <w:sz w:val="22"/>
                <w:szCs w:val="22"/>
                <w:lang w:val="sk-SK"/>
              </w:rPr>
            </w:pPr>
            <w:r>
              <w:rPr>
                <w:sz w:val="22"/>
                <w:szCs w:val="22"/>
                <w:lang w:val="sk-SK"/>
              </w:rPr>
              <w:t>(TM) AGRITOX 50 SL</w:t>
            </w:r>
          </w:p>
        </w:tc>
      </w:tr>
      <w:tr>
        <w:trPr>
          <w:trHeight w:val="149" w:hRule="atLeast"/>
        </w:trPr>
        <w:tc>
          <w:tcPr>
            <w:tcW w:w="2424" w:type="dxa"/>
            <w:vMerge w:val="continue"/>
            <w:tcBorders>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r>
          </w:p>
        </w:tc>
        <w:tc>
          <w:tcPr>
            <w:tcW w:w="2270" w:type="dxa"/>
            <w:vMerge w:val="continue"/>
            <w:tcBorders>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(1,1 l)</w:t>
            </w:r>
          </w:p>
        </w:tc>
        <w:tc>
          <w:tcPr>
            <w:tcW w:w="70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2" w:type="dxa"/>
            </w:tcMar>
          </w:tcPr>
          <w:p>
            <w:pPr>
              <w:pStyle w:val="NormalIndent"/>
              <w:ind w:left="0" w:hanging="0"/>
              <w:rPr>
                <w:sz w:val="22"/>
                <w:szCs w:val="22"/>
                <w:lang w:val="sk-SK"/>
              </w:rPr>
            </w:pPr>
            <w:r>
              <w:rPr>
                <w:sz w:val="22"/>
                <w:szCs w:val="22"/>
                <w:lang w:val="sk-SK"/>
              </w:rPr>
              <w:t>(TM) U 46 M FLUID</w:t>
            </w:r>
          </w:p>
        </w:tc>
      </w:tr>
      <w:tr>
        <w:trPr>
          <w:trHeight w:val="149" w:hRule="atLeast"/>
        </w:trPr>
        <w:tc>
          <w:tcPr>
            <w:tcW w:w="2424" w:type="dxa"/>
            <w:vMerge w:val="continue"/>
            <w:tcBorders>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r>
          </w:p>
        </w:tc>
        <w:tc>
          <w:tcPr>
            <w:tcW w:w="2270" w:type="dxa"/>
            <w:vMerge w:val="continue"/>
            <w:tcBorders>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(1 l)</w:t>
            </w:r>
          </w:p>
        </w:tc>
        <w:tc>
          <w:tcPr>
            <w:tcW w:w="70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2" w:type="dxa"/>
            </w:tcMar>
          </w:tcPr>
          <w:p>
            <w:pPr>
              <w:pStyle w:val="NormalIndent"/>
              <w:ind w:left="0" w:hanging="0"/>
              <w:rPr>
                <w:sz w:val="22"/>
                <w:szCs w:val="22"/>
                <w:lang w:val="sk-SK"/>
              </w:rPr>
            </w:pPr>
            <w:r>
              <w:rPr>
                <w:sz w:val="22"/>
                <w:szCs w:val="22"/>
                <w:lang w:val="sk-SK"/>
              </w:rPr>
              <w:t>(TM) AMINEX 500 SL</w:t>
            </w:r>
          </w:p>
        </w:tc>
      </w:tr>
      <w:tr>
        <w:trPr>
          <w:trHeight w:val="149" w:hRule="atLeast"/>
        </w:trPr>
        <w:tc>
          <w:tcPr>
            <w:tcW w:w="2424" w:type="dxa"/>
            <w:vMerge w:val="continue"/>
            <w:tcBorders>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r>
          </w:p>
        </w:tc>
        <w:tc>
          <w:tcPr>
            <w:tcW w:w="2270" w:type="dxa"/>
            <w:vMerge w:val="continue"/>
            <w:tcBorders>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(0,7 l)</w:t>
            </w:r>
          </w:p>
        </w:tc>
        <w:tc>
          <w:tcPr>
            <w:tcW w:w="70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2" w:type="dxa"/>
            </w:tcMar>
          </w:tcPr>
          <w:p>
            <w:pPr>
              <w:pStyle w:val="NormalIndent"/>
              <w:ind w:left="0" w:hanging="0"/>
              <w:rPr>
                <w:sz w:val="22"/>
                <w:szCs w:val="22"/>
                <w:lang w:val="sk-SK"/>
              </w:rPr>
            </w:pPr>
            <w:r>
              <w:rPr>
                <w:sz w:val="22"/>
                <w:szCs w:val="22"/>
                <w:lang w:val="sk-SK"/>
              </w:rPr>
              <w:t>(TM) DICOPUR M 750,  DICOHERB M 750, AGROXONE</w:t>
            </w:r>
          </w:p>
        </w:tc>
      </w:tr>
      <w:tr>
        <w:trPr>
          <w:trHeight w:val="149" w:hRule="atLeast"/>
        </w:trPr>
        <w:tc>
          <w:tcPr>
            <w:tcW w:w="2424" w:type="dxa"/>
            <w:vMerge w:val="continue"/>
            <w:tcBorders>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r>
          </w:p>
        </w:tc>
        <w:tc>
          <w:tcPr>
            <w:tcW w:w="2270" w:type="dxa"/>
            <w:vMerge w:val="continue"/>
            <w:tcBorders>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(0,5-0,8 l)</w:t>
            </w:r>
          </w:p>
        </w:tc>
        <w:tc>
          <w:tcPr>
            <w:tcW w:w="709"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Indent"/>
              <w:ind w:left="0" w:hanging="0"/>
              <w:rPr>
                <w:sz w:val="22"/>
                <w:szCs w:val="22"/>
                <w:lang w:val="sk-SK"/>
              </w:rPr>
            </w:pPr>
            <w:r>
              <w:rPr>
                <w:sz w:val="22"/>
                <w:szCs w:val="22"/>
                <w:lang w:val="sk-SK"/>
              </w:rPr>
              <w:t>(TM) ESTERON</w:t>
            </w:r>
          </w:p>
        </w:tc>
      </w:tr>
      <w:tr>
        <w:trPr>
          <w:trHeight w:val="255" w:hRule="atLeast"/>
        </w:trPr>
        <w:tc>
          <w:tcPr>
            <w:tcW w:w="24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jačmeň ozimný, pšenica ozimná, raž, tritikale</w:t>
            </w:r>
          </w:p>
        </w:tc>
        <w:tc>
          <w:tcPr>
            <w:tcW w:w="22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odolné dvojklíčnolistové buriny, lipkavec, pichliač</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(0,1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KANTOR</w:t>
            </w:r>
          </w:p>
        </w:tc>
      </w:tr>
      <w:tr>
        <w:trPr>
          <w:trHeight w:val="255"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b/>
                <w:b/>
                <w:sz w:val="22"/>
                <w:szCs w:val="22"/>
                <w:lang w:val="sk-SK"/>
              </w:rPr>
            </w:pPr>
            <w:r>
              <w:rPr>
                <w:b/>
                <w:sz w:val="22"/>
                <w:szCs w:val="22"/>
                <w:lang w:val="sk-SK"/>
              </w:rPr>
            </w:r>
          </w:p>
        </w:tc>
        <w:tc>
          <w:tcPr>
            <w:tcW w:w="22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(0,6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MUSTANG</w:t>
            </w:r>
          </w:p>
        </w:tc>
      </w:tr>
      <w:tr>
        <w:trPr>
          <w:trHeight w:val="255" w:hRule="atLeast"/>
        </w:trPr>
        <w:tc>
          <w:tcPr>
            <w:tcW w:w="24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jačmeň jarný, ovos, proso, pšenica jarná</w:t>
            </w:r>
          </w:p>
        </w:tc>
        <w:tc>
          <w:tcPr>
            <w:tcW w:w="22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odolné dvojklíčnolistové buriny, lipkavec, pichliač</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(0,08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KANTOR</w:t>
            </w:r>
          </w:p>
        </w:tc>
      </w:tr>
      <w:tr>
        <w:trPr>
          <w:trHeight w:val="255"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b/>
                <w:b/>
                <w:sz w:val="22"/>
                <w:szCs w:val="22"/>
                <w:lang w:val="sk-SK"/>
              </w:rPr>
            </w:pPr>
            <w:r>
              <w:rPr>
                <w:b/>
                <w:sz w:val="22"/>
                <w:szCs w:val="22"/>
                <w:lang w:val="sk-SK"/>
              </w:rPr>
            </w:r>
          </w:p>
        </w:tc>
        <w:tc>
          <w:tcPr>
            <w:tcW w:w="22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(0,5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MUSTANG</w:t>
            </w:r>
          </w:p>
        </w:tc>
      </w:tr>
      <w:tr>
        <w:trPr>
          <w:trHeight w:val="255" w:hRule="atLeast"/>
        </w:trPr>
        <w:tc>
          <w:tcPr>
            <w:tcW w:w="24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kukurica</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pichliač, rumančeky</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0,4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r>
          </w:p>
        </w:tc>
      </w:tr>
      <w:tr>
        <w:trPr>
          <w:trHeight w:val="255"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odolné dvojklíčnolistové buriny, durman, voškovník, pichliač a trváce buriny</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 l + (0,8-1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ESTERON</w:t>
            </w:r>
          </w:p>
        </w:tc>
      </w:tr>
      <w:tr>
        <w:trPr>
          <w:trHeight w:val="255" w:hRule="atLeast"/>
        </w:trPr>
        <w:tc>
          <w:tcPr>
            <w:tcW w:w="24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repka ozimná</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rumančekovité buriny</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0,35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r>
          </w:p>
        </w:tc>
      </w:tr>
      <w:tr>
        <w:trPr>
          <w:trHeight w:val="828"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rumančekovité buriny, výmrv obilnín, jednoročné trávy</w:t>
            </w:r>
          </w:p>
        </w:tc>
        <w:tc>
          <w:tcPr>
            <w:tcW w:w="2124" w:type="dxa"/>
            <w:tcBorders>
              <w:top w:val="single" w:sz="4" w:space="0" w:color="00000A"/>
              <w:left w:val="single" w:sz="4" w:space="0" w:color="00000A"/>
              <w:right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0,35 l + (1 kg)</w:t>
            </w:r>
          </w:p>
        </w:tc>
        <w:tc>
          <w:tcPr>
            <w:tcW w:w="709" w:type="dxa"/>
            <w:tcBorders>
              <w:top w:val="single" w:sz="4" w:space="0" w:color="00000A"/>
              <w:left w:val="single" w:sz="4" w:space="0" w:color="00000A"/>
              <w:right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right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KERB 50 W</w:t>
            </w:r>
          </w:p>
        </w:tc>
      </w:tr>
      <w:tr>
        <w:trPr>
          <w:trHeight w:val="89" w:hRule="atLeast"/>
        </w:trPr>
        <w:tc>
          <w:tcPr>
            <w:tcW w:w="24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repa cukrová, repa kŕmna</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dvojklíčnolistové buriny, pichliač, rumančeky</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0,35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r>
          </w:p>
        </w:tc>
      </w:tr>
      <w:tr>
        <w:trPr>
          <w:trHeight w:val="255"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dvojklíčnolistové buriny a jednoročné trávy, pichliač, rumančeky</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T</w:t>
            </w:r>
            <w:r>
              <w:rPr>
                <w:sz w:val="22"/>
                <w:szCs w:val="22"/>
                <w:vertAlign w:val="subscript"/>
                <w:lang w:val="sk-SK"/>
              </w:rPr>
              <w:t>1</w:t>
            </w:r>
            <w:r>
              <w:rPr>
                <w:sz w:val="22"/>
                <w:szCs w:val="22"/>
                <w:lang w:val="sk-SK"/>
              </w:rPr>
              <w:t>: 0,1 l + (1 l)</w:t>
            </w:r>
          </w:p>
        </w:tc>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BETANAL EXPERT, DA</w:t>
            </w:r>
          </w:p>
        </w:tc>
      </w:tr>
      <w:tr>
        <w:trPr>
          <w:trHeight w:val="255"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T</w:t>
            </w:r>
            <w:r>
              <w:rPr>
                <w:sz w:val="22"/>
                <w:szCs w:val="22"/>
                <w:vertAlign w:val="subscript"/>
                <w:lang w:val="sk-SK"/>
              </w:rPr>
              <w:t>2</w:t>
            </w:r>
            <w:r>
              <w:rPr>
                <w:sz w:val="22"/>
                <w:szCs w:val="22"/>
                <w:lang w:val="sk-SK"/>
              </w:rPr>
              <w:t>: 0,15 l + (1,25 l)</w:t>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jc w:val="center"/>
              <w:rPr>
                <w:sz w:val="22"/>
                <w:szCs w:val="22"/>
                <w:lang w:val="sk-SK"/>
              </w:rPr>
            </w:pPr>
            <w:r>
              <w:rPr>
                <w:sz w:val="22"/>
                <w:szCs w:val="22"/>
                <w:lang w:val="sk-SK"/>
              </w:rPr>
            </w:r>
          </w:p>
        </w:tc>
        <w:tc>
          <w:tcPr>
            <w:tcW w:w="22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r>
      <w:tr>
        <w:trPr>
          <w:trHeight w:val="255"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T</w:t>
            </w:r>
            <w:r>
              <w:rPr>
                <w:sz w:val="22"/>
                <w:szCs w:val="22"/>
                <w:vertAlign w:val="subscript"/>
                <w:lang w:val="sk-SK"/>
              </w:rPr>
              <w:t>3</w:t>
            </w:r>
            <w:r>
              <w:rPr>
                <w:sz w:val="22"/>
                <w:szCs w:val="22"/>
                <w:lang w:val="sk-SK"/>
              </w:rPr>
              <w:t>: 0,2 l + (1,5 l)</w:t>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jc w:val="center"/>
              <w:rPr>
                <w:sz w:val="22"/>
                <w:szCs w:val="22"/>
                <w:lang w:val="sk-SK"/>
              </w:rPr>
            </w:pPr>
            <w:r>
              <w:rPr>
                <w:sz w:val="22"/>
                <w:szCs w:val="22"/>
                <w:lang w:val="sk-SK"/>
              </w:rPr>
            </w:r>
          </w:p>
        </w:tc>
        <w:tc>
          <w:tcPr>
            <w:tcW w:w="22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r>
      <w:tr>
        <w:trPr>
          <w:trHeight w:val="255"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dvojklíčnolistové buriny a jednoročné trávy, horčiaky, láskavce, pichliač</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T</w:t>
            </w:r>
            <w:r>
              <w:rPr>
                <w:sz w:val="22"/>
                <w:szCs w:val="22"/>
                <w:vertAlign w:val="subscript"/>
                <w:lang w:val="sk-SK"/>
              </w:rPr>
              <w:t>1</w:t>
            </w:r>
            <w:r>
              <w:rPr>
                <w:sz w:val="22"/>
                <w:szCs w:val="22"/>
                <w:lang w:val="sk-SK"/>
              </w:rPr>
              <w:t>: 0,1 l + (0,2 l)</w:t>
            </w:r>
          </w:p>
        </w:tc>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(TM) STEMAT SUPER, DA</w:t>
            </w:r>
          </w:p>
        </w:tc>
      </w:tr>
      <w:tr>
        <w:trPr>
          <w:trHeight w:val="255"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T</w:t>
            </w:r>
            <w:r>
              <w:rPr>
                <w:sz w:val="22"/>
                <w:szCs w:val="22"/>
                <w:vertAlign w:val="subscript"/>
                <w:lang w:val="sk-SK"/>
              </w:rPr>
              <w:t>2</w:t>
            </w:r>
            <w:r>
              <w:rPr>
                <w:sz w:val="22"/>
                <w:szCs w:val="22"/>
                <w:lang w:val="sk-SK"/>
              </w:rPr>
              <w:t>: 0,15-0,2 l+(0,4 l)</w:t>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jc w:val="center"/>
              <w:rPr>
                <w:sz w:val="22"/>
                <w:szCs w:val="22"/>
                <w:lang w:val="sk-SK"/>
              </w:rPr>
            </w:pPr>
            <w:r>
              <w:rPr>
                <w:sz w:val="22"/>
                <w:szCs w:val="22"/>
                <w:lang w:val="sk-SK"/>
              </w:rPr>
            </w:r>
          </w:p>
        </w:tc>
        <w:tc>
          <w:tcPr>
            <w:tcW w:w="22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r>
      <w:tr>
        <w:trPr>
          <w:trHeight w:val="255"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c>
          <w:tcPr>
            <w:tcW w:w="22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T</w:t>
            </w:r>
            <w:r>
              <w:rPr>
                <w:sz w:val="22"/>
                <w:szCs w:val="22"/>
                <w:vertAlign w:val="subscript"/>
                <w:lang w:val="sk-SK"/>
              </w:rPr>
              <w:t>3</w:t>
            </w:r>
            <w:r>
              <w:rPr>
                <w:sz w:val="22"/>
                <w:szCs w:val="22"/>
                <w:lang w:val="sk-SK"/>
              </w:rPr>
              <w:t>: 0,2-0,3 l +(0,5 l)</w:t>
            </w:r>
          </w:p>
        </w:tc>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jc w:val="center"/>
              <w:rPr>
                <w:sz w:val="22"/>
                <w:szCs w:val="22"/>
                <w:lang w:val="sk-SK"/>
              </w:rPr>
            </w:pPr>
            <w:r>
              <w:rPr>
                <w:sz w:val="22"/>
                <w:szCs w:val="22"/>
                <w:lang w:val="sk-SK"/>
              </w:rPr>
            </w:r>
          </w:p>
        </w:tc>
        <w:tc>
          <w:tcPr>
            <w:tcW w:w="22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sz w:val="22"/>
                <w:szCs w:val="22"/>
                <w:lang w:val="sk-SK"/>
              </w:rPr>
            </w:pPr>
            <w:r>
              <w:rPr>
                <w:sz w:val="22"/>
                <w:szCs w:val="22"/>
                <w:lang w:val="sk-SK"/>
              </w:rPr>
            </w:r>
          </w:p>
        </w:tc>
      </w:tr>
      <w:tr>
        <w:trPr>
          <w:trHeight w:val="255" w:hRule="atLeast"/>
        </w:trPr>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jadroviny</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pichliač, rumančeky, turanec kanadský</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0,3-0,4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r>
          </w:p>
        </w:tc>
      </w:tr>
      <w:tr>
        <w:trPr>
          <w:trHeight w:val="255" w:hRule="atLeast"/>
        </w:trPr>
        <w:tc>
          <w:tcPr>
            <w:tcW w:w="24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jahoda</w:t>
            </w:r>
          </w:p>
        </w:tc>
        <w:tc>
          <w:tcPr>
            <w:tcW w:w="22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pichliač</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Indent"/>
              <w:ind w:left="0" w:hanging="0"/>
              <w:jc w:val="both"/>
              <w:rPr>
                <w:sz w:val="22"/>
                <w:szCs w:val="22"/>
                <w:lang w:val="sk-SK"/>
              </w:rPr>
            </w:pPr>
            <w:r>
              <w:rPr>
                <w:sz w:val="22"/>
                <w:szCs w:val="22"/>
                <w:lang w:val="sk-SK"/>
              </w:rPr>
              <w:t xml:space="preserve">0,37 l (0,075 %)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500 l vody</w:t>
            </w:r>
          </w:p>
        </w:tc>
      </w:tr>
      <w:tr>
        <w:trPr>
          <w:trHeight w:val="255"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b/>
                <w:b/>
                <w:sz w:val="22"/>
                <w:szCs w:val="22"/>
                <w:lang w:val="sk-SK"/>
              </w:rPr>
            </w:pPr>
            <w:r>
              <w:rPr>
                <w:b/>
                <w:sz w:val="22"/>
                <w:szCs w:val="22"/>
                <w:lang w:val="sk-SK"/>
              </w:rPr>
            </w:r>
          </w:p>
        </w:tc>
        <w:tc>
          <w:tcPr>
            <w:tcW w:w="22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0,3-0,4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r>
          </w:p>
        </w:tc>
      </w:tr>
      <w:tr>
        <w:trPr>
          <w:trHeight w:val="293" w:hRule="atLeast"/>
        </w:trPr>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Indent"/>
              <w:ind w:left="0" w:hanging="0"/>
              <w:rPr>
                <w:b/>
                <w:b/>
                <w:sz w:val="22"/>
                <w:szCs w:val="22"/>
                <w:lang w:val="sk-SK"/>
              </w:rPr>
            </w:pPr>
            <w:r>
              <w:rPr>
                <w:b/>
                <w:sz w:val="22"/>
                <w:szCs w:val="22"/>
                <w:lang w:val="sk-SK"/>
              </w:rPr>
              <w:t>ovocné škôlky</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pichliač, pŕhľava, lopúch, rumančekovité buriny</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0,4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podpníky</w:t>
            </w:r>
          </w:p>
        </w:tc>
      </w:tr>
      <w:tr>
        <w:trPr>
          <w:trHeight w:val="81" w:hRule="atLeast"/>
        </w:trPr>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cibuľa, pažítka</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pichliač, rumančeky</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0,4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semenné porasty</w:t>
            </w:r>
          </w:p>
        </w:tc>
      </w:tr>
      <w:tr>
        <w:trPr>
          <w:trHeight w:val="255" w:hRule="atLeast"/>
        </w:trPr>
        <w:tc>
          <w:tcPr>
            <w:tcW w:w="24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trávy</w:t>
            </w:r>
          </w:p>
        </w:tc>
        <w:tc>
          <w:tcPr>
            <w:tcW w:w="22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odolné dvojklíčnolistové buriny</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0,5 l + (1,3-1,7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semenné porasty (TM) AMINEX 500 SL</w:t>
            </w:r>
          </w:p>
        </w:tc>
      </w:tr>
      <w:tr>
        <w:trPr>
          <w:trHeight w:val="309"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b/>
                <w:b/>
                <w:sz w:val="22"/>
                <w:szCs w:val="22"/>
                <w:lang w:val="sk-SK"/>
              </w:rPr>
            </w:pPr>
            <w:r>
              <w:rPr>
                <w:b/>
                <w:sz w:val="22"/>
                <w:szCs w:val="22"/>
                <w:lang w:val="sk-SK"/>
              </w:rPr>
            </w:r>
          </w:p>
        </w:tc>
        <w:tc>
          <w:tcPr>
            <w:tcW w:w="22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0,5 l + (0,7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semenné porasty (TM) DICOPUR M 750,  DICOHERB M 750</w:t>
            </w:r>
          </w:p>
        </w:tc>
      </w:tr>
      <w:tr>
        <w:trPr>
          <w:trHeight w:val="255" w:hRule="atLeast"/>
        </w:trPr>
        <w:tc>
          <w:tcPr>
            <w:tcW w:w="2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Indent"/>
              <w:ind w:left="0" w:hanging="0"/>
              <w:rPr>
                <w:b/>
                <w:b/>
                <w:sz w:val="22"/>
                <w:szCs w:val="22"/>
                <w:lang w:val="sk-SK"/>
              </w:rPr>
            </w:pPr>
            <w:r>
              <w:rPr>
                <w:b/>
                <w:sz w:val="22"/>
                <w:szCs w:val="22"/>
                <w:lang w:val="sk-SK"/>
              </w:rPr>
            </w:r>
          </w:p>
        </w:tc>
        <w:tc>
          <w:tcPr>
            <w:tcW w:w="22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Indent"/>
              <w:ind w:left="0" w:hanging="0"/>
              <w:rPr>
                <w:sz w:val="22"/>
                <w:szCs w:val="22"/>
                <w:lang w:val="sk-SK"/>
              </w:rPr>
            </w:pPr>
            <w:r>
              <w:rPr>
                <w:sz w:val="22"/>
                <w:szCs w:val="22"/>
                <w:lang w:val="sk-SK"/>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0,5 l + (1,4-2,8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Indent"/>
              <w:ind w:left="0" w:hanging="0"/>
              <w:rPr>
                <w:sz w:val="22"/>
                <w:szCs w:val="22"/>
                <w:highlight w:val="yellow"/>
                <w:lang w:val="sk-SK"/>
              </w:rPr>
            </w:pPr>
            <w:r>
              <w:rPr>
                <w:sz w:val="22"/>
                <w:szCs w:val="22"/>
                <w:lang w:val="sk-SK"/>
              </w:rPr>
              <w:t>semenné porasty (TM) U 46 M FLUID</w:t>
            </w:r>
          </w:p>
        </w:tc>
      </w:tr>
      <w:tr>
        <w:trPr>
          <w:trHeight w:val="255" w:hRule="atLeast"/>
        </w:trPr>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okrasné trávniky a trávnaté ihriská</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dvojklíčnolistové buriny, sedmokráska</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0,4-1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r>
          </w:p>
        </w:tc>
      </w:tr>
      <w:tr>
        <w:trPr>
          <w:trHeight w:val="255" w:hRule="atLeast"/>
        </w:trPr>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mečík</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 xml:space="preserve">dvojklíčnolistové </w:t>
            </w:r>
            <w:r>
              <w:rPr>
                <w:lang w:val="sk-SK"/>
              </w:rPr>
              <w:t>buriny</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0,4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r>
          </w:p>
        </w:tc>
      </w:tr>
      <w:tr>
        <w:trPr>
          <w:trHeight w:val="450" w:hRule="atLeast"/>
        </w:trPr>
        <w:tc>
          <w:tcPr>
            <w:tcW w:w="2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b/>
                <w:b/>
                <w:sz w:val="22"/>
                <w:szCs w:val="22"/>
                <w:lang w:val="sk-SK"/>
              </w:rPr>
            </w:pPr>
            <w:r>
              <w:rPr>
                <w:b/>
                <w:sz w:val="22"/>
                <w:szCs w:val="22"/>
                <w:lang w:val="sk-SK"/>
              </w:rPr>
              <w:t>lesné plochy , lesné škôlky</w:t>
            </w:r>
          </w:p>
        </w:tc>
        <w:tc>
          <w:tcPr>
            <w:tcW w:w="2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dvojklíčnolistové buriny, rumančeky, turanec kanadský, púpava, pichliač</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both"/>
              <w:rPr>
                <w:sz w:val="22"/>
                <w:szCs w:val="22"/>
                <w:lang w:val="sk-SK"/>
              </w:rPr>
            </w:pPr>
            <w:r>
              <w:rPr>
                <w:sz w:val="22"/>
                <w:szCs w:val="22"/>
                <w:lang w:val="sk-SK"/>
              </w:rPr>
              <w:t>0,4-1,2 l</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jc w:val="center"/>
              <w:rPr>
                <w:sz w:val="22"/>
                <w:szCs w:val="22"/>
                <w:lang w:val="sk-SK"/>
              </w:rPr>
            </w:pPr>
            <w:r>
              <w:rPr>
                <w:sz w:val="22"/>
                <w:szCs w:val="22"/>
                <w:lang w:val="sk-SK"/>
              </w:rPr>
              <w:t>AT</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5" w:type="dxa"/>
            </w:tcMar>
          </w:tcPr>
          <w:p>
            <w:pPr>
              <w:pStyle w:val="NormalIndent"/>
              <w:ind w:left="0" w:hanging="0"/>
              <w:rPr>
                <w:sz w:val="22"/>
                <w:szCs w:val="22"/>
                <w:lang w:val="sk-SK"/>
              </w:rPr>
            </w:pPr>
            <w:r>
              <w:rPr>
                <w:sz w:val="22"/>
                <w:szCs w:val="22"/>
                <w:lang w:val="sk-SK"/>
              </w:rPr>
              <w:t>príprava pôdy</w:t>
            </w:r>
          </w:p>
        </w:tc>
      </w:tr>
    </w:tbl>
    <w:p>
      <w:pPr>
        <w:pStyle w:val="NormalIndent"/>
        <w:ind w:left="0" w:hanging="0"/>
        <w:jc w:val="both"/>
        <w:rPr>
          <w:sz w:val="24"/>
          <w:szCs w:val="24"/>
          <w:lang w:val="sk-SK"/>
        </w:rPr>
      </w:pPr>
      <w:r>
        <w:rPr>
          <w:sz w:val="24"/>
          <w:szCs w:val="24"/>
          <w:lang w:val="sk-SK"/>
        </w:rPr>
      </w:r>
    </w:p>
    <w:p>
      <w:pPr>
        <w:pStyle w:val="Normal"/>
        <w:jc w:val="both"/>
        <w:rPr>
          <w:b/>
          <w:b/>
          <w:sz w:val="24"/>
          <w:szCs w:val="24"/>
        </w:rPr>
      </w:pPr>
      <w:r>
        <w:rPr>
          <w:b/>
          <w:sz w:val="24"/>
          <w:szCs w:val="24"/>
        </w:rPr>
      </w:r>
    </w:p>
    <w:p>
      <w:pPr>
        <w:pStyle w:val="Normal"/>
        <w:jc w:val="both"/>
        <w:rPr>
          <w:b/>
          <w:b/>
          <w:sz w:val="24"/>
          <w:szCs w:val="24"/>
        </w:rPr>
      </w:pPr>
      <w:r>
        <w:rPr>
          <w:b/>
          <w:sz w:val="24"/>
          <w:szCs w:val="24"/>
        </w:rPr>
        <w:t>POKYNY PRE APLIKÁCIU</w:t>
      </w:r>
    </w:p>
    <w:p>
      <w:pPr>
        <w:pStyle w:val="NormalIndent"/>
        <w:ind w:left="0" w:hanging="0"/>
        <w:jc w:val="both"/>
        <w:rPr>
          <w:sz w:val="24"/>
          <w:szCs w:val="24"/>
          <w:lang w:val="sk-SK"/>
        </w:rPr>
      </w:pPr>
      <w:r>
        <w:rPr>
          <w:sz w:val="24"/>
          <w:szCs w:val="24"/>
          <w:lang w:val="sk-SK"/>
        </w:rPr>
        <w:t>LONTREL 300 vo vyššie uvedených dávkach aplikujte v 300-600 l vody na 1 ha.</w:t>
      </w:r>
    </w:p>
    <w:p>
      <w:pPr>
        <w:pStyle w:val="NormalIndent"/>
        <w:ind w:left="0" w:hanging="0"/>
        <w:jc w:val="both"/>
        <w:rPr>
          <w:sz w:val="24"/>
          <w:szCs w:val="24"/>
          <w:lang w:val="sk-SK"/>
        </w:rPr>
      </w:pPr>
      <w:r>
        <w:rPr>
          <w:b/>
          <w:sz w:val="24"/>
          <w:szCs w:val="24"/>
          <w:lang w:val="sk-SK"/>
        </w:rPr>
        <w:t> </w:t>
      </w:r>
      <w:r>
        <w:rPr>
          <w:b/>
          <w:sz w:val="24"/>
          <w:szCs w:val="24"/>
          <w:lang w:val="sk-SK"/>
        </w:rPr>
        <w:t>Obilniny -</w:t>
      </w:r>
      <w:r>
        <w:rPr>
          <w:sz w:val="24"/>
          <w:szCs w:val="24"/>
          <w:lang w:val="sk-SK"/>
        </w:rPr>
        <w:t xml:space="preserve"> aplikujte prípravok LONTREL 300 od 4.-5. listu do konca jej steblovania; v TM kombináciách prípravkov na báze 2,4-D, MCPA, florasulamu s LONTREL 300 dochádza k zvýšeniu translokácie účinných látok do koreňového systému čo zabezpečuje dlhotrvajúcu likvidáciu koreňového systému pichliača.</w:t>
      </w:r>
    </w:p>
    <w:p>
      <w:pPr>
        <w:pStyle w:val="NormalIndent"/>
        <w:ind w:left="0" w:hanging="0"/>
        <w:jc w:val="both"/>
        <w:rPr>
          <w:sz w:val="24"/>
          <w:szCs w:val="24"/>
          <w:lang w:val="sk-SK"/>
        </w:rPr>
      </w:pPr>
      <w:r>
        <w:rPr>
          <w:b/>
          <w:sz w:val="24"/>
          <w:szCs w:val="24"/>
          <w:lang w:val="sk-SK"/>
        </w:rPr>
        <w:t>Repa cukrová</w:t>
      </w:r>
      <w:r>
        <w:rPr>
          <w:sz w:val="24"/>
          <w:szCs w:val="24"/>
          <w:lang w:val="sk-SK"/>
        </w:rPr>
        <w:t xml:space="preserve"> </w:t>
      </w:r>
      <w:r>
        <w:rPr>
          <w:b/>
          <w:sz w:val="24"/>
          <w:szCs w:val="24"/>
          <w:lang w:val="sk-SK"/>
        </w:rPr>
        <w:t>a kŕmna -</w:t>
      </w:r>
      <w:r>
        <w:rPr>
          <w:sz w:val="24"/>
          <w:szCs w:val="24"/>
          <w:lang w:val="sk-SK"/>
        </w:rPr>
        <w:t xml:space="preserve"> ošetrujte prípravkom LONTREL 300 cielene proti pichliaču roľnému v dávke 0,35 l/ha vo fáze 2 pravých listov repy cukrovej alebo kŕmnej, keď pichliač plne rozvinul prízemnú listovú ružicu, prípadne začína vytvárať kvetnú os. Všetky výhonky pichliača by mali byť vzídené. Krátko po postreku (5-10 dní) neplečkujte, aby došlo k rozvedeniu účinnej látky do podzemných orgánov pichliača a tým k ich zničeniu. Cielené aplikácie herbicídu LONTREL 300 proti ťažko ničiteľným burinám v repe cukrovej a kŕmnej - stavikrvy a horčiaky, výmrv slnečnice, tetucha kozia, rumančekovité buriny a pichliač roľný aplikujte v delených dávkach: 0,1 l/ha (1. aplikácia), 0,15-0,2 l/ha (2. aplikácia), 0,2-0,3 l/ha (3. aplikácia) s prípravkami Betanal Expert a Stemat Super.</w:t>
      </w:r>
    </w:p>
    <w:p>
      <w:pPr>
        <w:pStyle w:val="NormalIndent"/>
        <w:ind w:left="0" w:hanging="0"/>
        <w:jc w:val="both"/>
        <w:rPr>
          <w:sz w:val="24"/>
          <w:szCs w:val="24"/>
          <w:lang w:val="sk-SK"/>
        </w:rPr>
      </w:pPr>
      <w:r>
        <w:rPr>
          <w:sz w:val="24"/>
          <w:szCs w:val="24"/>
          <w:lang w:val="sk-SK"/>
        </w:rPr>
        <w:t xml:space="preserve">Zmes LONTREL 300 + KERB 50 W je vhodná pre porasty </w:t>
      </w:r>
      <w:r>
        <w:rPr>
          <w:b/>
          <w:sz w:val="24"/>
          <w:szCs w:val="24"/>
          <w:lang w:val="sk-SK"/>
        </w:rPr>
        <w:t>repky</w:t>
      </w:r>
      <w:r>
        <w:rPr>
          <w:sz w:val="24"/>
          <w:szCs w:val="24"/>
          <w:lang w:val="sk-SK"/>
        </w:rPr>
        <w:t xml:space="preserve"> </w:t>
      </w:r>
      <w:r>
        <w:rPr>
          <w:b/>
          <w:sz w:val="24"/>
          <w:szCs w:val="24"/>
          <w:lang w:val="sk-SK"/>
        </w:rPr>
        <w:t>ozimnej</w:t>
      </w:r>
      <w:r>
        <w:rPr>
          <w:sz w:val="24"/>
          <w:szCs w:val="24"/>
          <w:lang w:val="sk-SK"/>
        </w:rPr>
        <w:t xml:space="preserve"> s výskytom výmrvu obilniny, jednoročných tráv, parumančeka nevoňavého, rumanov, rumančekov, prípadne pichliača roľného. Aplikujte v dobe, keď má repka 4 listy a buriny 2-4 listy.</w:t>
      </w:r>
    </w:p>
    <w:p>
      <w:pPr>
        <w:pStyle w:val="NormalIndent"/>
        <w:ind w:left="0" w:hanging="0"/>
        <w:jc w:val="both"/>
        <w:rPr>
          <w:sz w:val="24"/>
          <w:szCs w:val="24"/>
          <w:lang w:val="sk-SK"/>
        </w:rPr>
      </w:pPr>
      <w:r>
        <w:rPr>
          <w:b/>
          <w:sz w:val="24"/>
          <w:szCs w:val="24"/>
          <w:lang w:val="sk-SK"/>
        </w:rPr>
        <w:t> </w:t>
      </w:r>
      <w:r>
        <w:rPr>
          <w:b/>
          <w:sz w:val="24"/>
          <w:szCs w:val="24"/>
          <w:lang w:val="sk-SK"/>
        </w:rPr>
        <w:t>Kukurica -</w:t>
      </w:r>
      <w:r>
        <w:rPr>
          <w:sz w:val="24"/>
          <w:szCs w:val="24"/>
          <w:lang w:val="sk-SK"/>
        </w:rPr>
        <w:t xml:space="preserve"> LONTREL 300 aplikujte postemergentne v dobe, keď má pichliač plne rozvinutú prízemnú listovú ružicu, prípadne začína vytvárať kvetnú os a všetky výhony pichliača sú vzídené.</w:t>
      </w:r>
    </w:p>
    <w:p>
      <w:pPr>
        <w:pStyle w:val="NormalIndent"/>
        <w:ind w:left="0" w:hanging="0"/>
        <w:jc w:val="both"/>
        <w:rPr>
          <w:sz w:val="24"/>
          <w:szCs w:val="24"/>
          <w:lang w:val="sk-SK"/>
        </w:rPr>
      </w:pPr>
      <w:r>
        <w:rPr>
          <w:b/>
          <w:sz w:val="24"/>
          <w:szCs w:val="24"/>
          <w:lang w:val="sk-SK"/>
        </w:rPr>
        <w:t> </w:t>
      </w:r>
      <w:r>
        <w:rPr>
          <w:b/>
          <w:sz w:val="24"/>
          <w:szCs w:val="24"/>
          <w:lang w:val="sk-SK"/>
        </w:rPr>
        <w:t>Jadroviny -</w:t>
      </w:r>
      <w:r>
        <w:rPr>
          <w:sz w:val="24"/>
          <w:szCs w:val="24"/>
          <w:lang w:val="sk-SK"/>
        </w:rPr>
        <w:t xml:space="preserve"> LONTREL 300 aplikujte na vzídené buriny, pichliače musia mať plne rozvinutú prízemnú ružicu, prípadne vytvárať kvetnú os a turanec kanadský by mal dosahovať výšku 5-10 cm.</w:t>
      </w:r>
    </w:p>
    <w:p>
      <w:pPr>
        <w:pStyle w:val="NormalIndent"/>
        <w:ind w:left="0" w:hanging="0"/>
        <w:jc w:val="both"/>
        <w:rPr>
          <w:sz w:val="24"/>
          <w:szCs w:val="24"/>
          <w:lang w:val="sk-SK"/>
        </w:rPr>
      </w:pPr>
      <w:r>
        <w:rPr>
          <w:b/>
          <w:sz w:val="24"/>
          <w:szCs w:val="24"/>
          <w:lang w:val="sk-SK"/>
        </w:rPr>
        <w:t xml:space="preserve"> </w:t>
      </w:r>
      <w:r>
        <w:rPr>
          <w:b/>
          <w:sz w:val="24"/>
          <w:szCs w:val="24"/>
          <w:lang w:val="sk-SK"/>
        </w:rPr>
        <w:t xml:space="preserve">Jahoda - </w:t>
      </w:r>
      <w:r>
        <w:rPr>
          <w:sz w:val="24"/>
          <w:szCs w:val="24"/>
          <w:lang w:val="sk-SK"/>
        </w:rPr>
        <w:t>aplikujte bodovo pred kvetom jahôd vo fáze prízemnej ružice listov pichliača roľného.</w:t>
      </w:r>
    </w:p>
    <w:p>
      <w:pPr>
        <w:pStyle w:val="NormalIndent"/>
        <w:ind w:left="0" w:hanging="0"/>
        <w:jc w:val="both"/>
        <w:rPr>
          <w:sz w:val="24"/>
          <w:szCs w:val="24"/>
          <w:lang w:val="sk-SK"/>
        </w:rPr>
      </w:pPr>
      <w:r>
        <w:rPr>
          <w:b/>
          <w:sz w:val="24"/>
          <w:szCs w:val="24"/>
          <w:lang w:val="sk-SK"/>
        </w:rPr>
        <w:t xml:space="preserve"> </w:t>
      </w:r>
      <w:r>
        <w:rPr>
          <w:b/>
          <w:sz w:val="24"/>
          <w:szCs w:val="24"/>
          <w:lang w:val="sk-SK"/>
        </w:rPr>
        <w:t>Cibuľa -</w:t>
      </w:r>
      <w:r>
        <w:rPr>
          <w:sz w:val="24"/>
          <w:szCs w:val="24"/>
          <w:lang w:val="sk-SK"/>
        </w:rPr>
        <w:t xml:space="preserve"> aplikujte od 3. listu cibule, pichliač by mal byť v štádiu prízemnej ružice.</w:t>
      </w:r>
    </w:p>
    <w:p>
      <w:pPr>
        <w:pStyle w:val="NormalIndent"/>
        <w:ind w:left="0" w:hanging="0"/>
        <w:jc w:val="both"/>
        <w:rPr>
          <w:sz w:val="24"/>
          <w:szCs w:val="24"/>
          <w:lang w:val="sk-SK"/>
        </w:rPr>
      </w:pPr>
      <w:r>
        <w:rPr>
          <w:b/>
          <w:sz w:val="24"/>
          <w:szCs w:val="24"/>
          <w:lang w:val="sk-SK"/>
        </w:rPr>
        <w:t xml:space="preserve"> </w:t>
      </w:r>
      <w:r>
        <w:rPr>
          <w:b/>
          <w:sz w:val="24"/>
          <w:szCs w:val="24"/>
          <w:lang w:val="sk-SK"/>
        </w:rPr>
        <w:t xml:space="preserve">Mečík - </w:t>
      </w:r>
      <w:r>
        <w:rPr>
          <w:sz w:val="24"/>
          <w:szCs w:val="24"/>
          <w:lang w:val="sk-SK"/>
        </w:rPr>
        <w:t>aplikujte pred kvetom a po odkvitnutí mečíkov, na listoch však musí byť vytvorená dostatočná vosková vrstvička. Vhodný je najmä proti pichliaču ak aplikujete vo fáze prízemnej ružice listov, ostatné buriny do 2-4 listov. Neaplikujte aspoň 3-4 dni po daždi a pri vysokých teplotách (nad +20°C).</w:t>
      </w:r>
    </w:p>
    <w:p>
      <w:pPr>
        <w:pStyle w:val="NormalIndent"/>
        <w:ind w:left="0" w:hanging="0"/>
        <w:jc w:val="both"/>
        <w:rPr>
          <w:sz w:val="24"/>
          <w:szCs w:val="24"/>
          <w:lang w:val="sk-SK"/>
        </w:rPr>
      </w:pPr>
      <w:r>
        <w:rPr>
          <w:b/>
          <w:sz w:val="24"/>
          <w:szCs w:val="24"/>
          <w:lang w:val="sk-SK"/>
        </w:rPr>
        <w:t> </w:t>
      </w:r>
      <w:r>
        <w:rPr>
          <w:b/>
          <w:sz w:val="24"/>
          <w:szCs w:val="24"/>
          <w:lang w:val="sk-SK"/>
        </w:rPr>
        <w:t xml:space="preserve">Trávniky - </w:t>
      </w:r>
      <w:r>
        <w:rPr>
          <w:sz w:val="24"/>
          <w:szCs w:val="24"/>
          <w:lang w:val="sk-SK"/>
        </w:rPr>
        <w:t xml:space="preserve"> aplikujte v štádiu 2-4 listov dvojklíčnolistových burín, parumany vo fáze malej prízemnej ružice listov. Neošetrujte pri vysokých teplotách, veľmi vhodný v mestských častiach (hlavne kúpele), lebo pri a po ošetrení nezanecháva žiadny zápach. Voľné miesta, ktoré zostávajú v trávnikoch po zničení burín, je potrebné podsiať a prihnojiť (vytvoriť priaznivé podmienky na vývoj nových tráv), aby neboli opätovne zaburinené.</w:t>
      </w:r>
    </w:p>
    <w:p>
      <w:pPr>
        <w:pStyle w:val="NormalIndent"/>
        <w:ind w:left="0" w:hanging="0"/>
        <w:jc w:val="both"/>
        <w:rPr>
          <w:b/>
          <w:b/>
          <w:sz w:val="24"/>
          <w:szCs w:val="24"/>
          <w:lang w:val="sk-SK"/>
        </w:rPr>
      </w:pPr>
      <w:r>
        <w:rPr>
          <w:b/>
          <w:sz w:val="24"/>
          <w:szCs w:val="24"/>
          <w:lang w:val="sk-SK"/>
        </w:rPr>
        <w:t>Lesné hospodárstvo -</w:t>
      </w:r>
      <w:r>
        <w:rPr>
          <w:sz w:val="24"/>
          <w:szCs w:val="24"/>
          <w:lang w:val="sk-SK"/>
        </w:rPr>
        <w:t xml:space="preserve"> proti pichliaču roľnému ošetrujte v dobe plne rozvinutej prízemnej ružice pichliača, prípadne v dobe objavenia kvetnej osi. Postrek v dobe rašenia alebo kvetu pichliača má znížený účinok na podzemné orgány z dôvodu silného toku asimilátov do nadzemných častí rastliny. Ostatné citlivé buriny sú najľahšie ničiteľné v nižších rastových fázach, keď postačí dávka 0,35 l/ha; pri aplikácii na vyvinuté buriny je treba použiť vyššiu dávku (0,4-0,5 l/ha). Dbajte pri postreku vo výsadbách a zaškôlkovaných sadeniciach na to, aby nedošlo k zasiahnutiu listovej plochy sadeníc. Uvoľnené prázdne plochy a záhony postrekujte počas celého roka. Výsadbu alebo výsev zahájte po odumretí burín.</w:t>
      </w:r>
    </w:p>
    <w:p>
      <w:pPr>
        <w:pStyle w:val="Normal"/>
        <w:ind w:right="-1" w:hanging="0"/>
        <w:jc w:val="both"/>
        <w:rPr>
          <w:b/>
          <w:b/>
          <w:sz w:val="24"/>
          <w:szCs w:val="24"/>
        </w:rPr>
      </w:pPr>
      <w:r>
        <w:rPr>
          <w:b/>
          <w:sz w:val="24"/>
          <w:szCs w:val="24"/>
        </w:rPr>
      </w:r>
    </w:p>
    <w:p>
      <w:pPr>
        <w:pStyle w:val="Normal"/>
        <w:ind w:right="-1" w:hanging="0"/>
        <w:jc w:val="both"/>
        <w:rPr>
          <w:sz w:val="24"/>
          <w:szCs w:val="24"/>
        </w:rPr>
      </w:pPr>
      <w:r>
        <w:rPr>
          <w:b/>
          <w:sz w:val="24"/>
          <w:szCs w:val="24"/>
        </w:rPr>
        <w:t xml:space="preserve">Upozornenie: </w:t>
      </w:r>
      <w:r>
        <w:rPr>
          <w:sz w:val="24"/>
          <w:szCs w:val="24"/>
        </w:rPr>
        <w:t>Postrekom nesmú byť zasiahnuté susediace porasty. Mimoriadne citlivé sú lucerna, ďatelina, ovocné sady, vinič a chmeľ a preto v blízkosti týchto plodín ošetrujte len pri vhodných podmienkach (bezvetrie, nižšie teploty). Uvedené citlivé plodiny môžu byť pri vysokých teplotách poškodené aj výparmi prípravku!</w:t>
      </w:r>
    </w:p>
    <w:p>
      <w:pPr>
        <w:pStyle w:val="BodyText2"/>
        <w:tabs>
          <w:tab w:val="left" w:pos="6390" w:leader="none"/>
        </w:tabs>
        <w:rPr>
          <w:szCs w:val="24"/>
          <w:lang w:val="sk-SK"/>
        </w:rPr>
      </w:pPr>
      <w:r>
        <w:rPr>
          <w:szCs w:val="24"/>
          <w:lang w:val="sk-SK"/>
        </w:rPr>
      </w:r>
    </w:p>
    <w:p>
      <w:pPr>
        <w:pStyle w:val="Normal"/>
        <w:ind w:right="-1" w:hanging="0"/>
        <w:jc w:val="both"/>
        <w:rPr>
          <w:b/>
          <w:b/>
          <w:sz w:val="24"/>
          <w:szCs w:val="24"/>
        </w:rPr>
      </w:pPr>
      <w:r>
        <w:rPr>
          <w:b/>
          <w:bCs/>
          <w:sz w:val="24"/>
          <w:szCs w:val="24"/>
        </w:rPr>
        <w:t>INFORMÁCIE</w:t>
      </w:r>
      <w:r>
        <w:rPr>
          <w:b/>
          <w:sz w:val="24"/>
          <w:szCs w:val="24"/>
        </w:rPr>
        <w:t xml:space="preserve"> O MOŽNEJ FYTOTOXICITE, ODRODOVEJ CITLIVOSTI A VŠETKÝCH ĎALŠÍCH PRIAMYCH A NEPRIAMYCH  NEPRIAZNIVÝCH ÚČINKOCH NA RASTLINY</w:t>
      </w:r>
      <w:r>
        <w:rPr>
          <w:sz w:val="24"/>
          <w:szCs w:val="24"/>
        </w:rPr>
        <w:t xml:space="preserve"> </w:t>
      </w:r>
      <w:r>
        <w:rPr>
          <w:b/>
          <w:sz w:val="24"/>
          <w:szCs w:val="24"/>
        </w:rPr>
        <w:t>ALEBO RASTLINNÉ PRODUKTY</w:t>
      </w:r>
    </w:p>
    <w:p>
      <w:pPr>
        <w:pStyle w:val="NormalIndent"/>
        <w:ind w:left="0" w:hanging="0"/>
        <w:jc w:val="both"/>
        <w:rPr>
          <w:sz w:val="24"/>
          <w:szCs w:val="24"/>
          <w:lang w:val="sk-SK"/>
        </w:rPr>
      </w:pPr>
      <w:r>
        <w:rPr>
          <w:sz w:val="24"/>
          <w:szCs w:val="24"/>
          <w:lang w:val="sk-SK"/>
        </w:rPr>
        <w:t>Rastliny ošetrené s prípravkom LONTREL</w:t>
      </w:r>
      <w:r>
        <w:rPr>
          <w:sz w:val="24"/>
          <w:szCs w:val="24"/>
          <w:vertAlign w:val="superscript"/>
          <w:lang w:val="sk-SK"/>
        </w:rPr>
        <w:t>®</w:t>
      </w:r>
      <w:r>
        <w:rPr>
          <w:sz w:val="24"/>
          <w:szCs w:val="24"/>
          <w:lang w:val="sk-SK"/>
        </w:rPr>
        <w:t xml:space="preserve"> 300 nepoužívajte na mulčovanie, kompostovanie  a podstielku. Maštaľný hnoj od zvierat kŕmených ošetrenou plodinou nepoužívajte na kompostovanie. Prípravok neaplikujte pri teplote vyššej než +23</w:t>
      </w:r>
      <w:r>
        <w:rPr>
          <w:sz w:val="24"/>
          <w:szCs w:val="24"/>
          <w:vertAlign w:val="superscript"/>
          <w:lang w:val="sk-SK"/>
        </w:rPr>
        <w:t>o</w:t>
      </w:r>
      <w:r>
        <w:rPr>
          <w:sz w:val="24"/>
          <w:szCs w:val="24"/>
          <w:lang w:val="sk-SK"/>
        </w:rPr>
        <w:t>C.</w:t>
      </w:r>
    </w:p>
    <w:p>
      <w:pPr>
        <w:pStyle w:val="Normal"/>
        <w:ind w:right="-1" w:hanging="0"/>
        <w:jc w:val="both"/>
        <w:rPr>
          <w:b/>
          <w:b/>
          <w:sz w:val="24"/>
          <w:szCs w:val="24"/>
        </w:rPr>
      </w:pPr>
      <w:r>
        <w:rPr>
          <w:b/>
          <w:sz w:val="24"/>
          <w:szCs w:val="24"/>
        </w:rPr>
      </w:r>
    </w:p>
    <w:p>
      <w:pPr>
        <w:pStyle w:val="Normal"/>
        <w:ind w:right="-1" w:hanging="0"/>
        <w:jc w:val="both"/>
        <w:rPr>
          <w:b/>
          <w:b/>
          <w:sz w:val="24"/>
          <w:szCs w:val="24"/>
        </w:rPr>
      </w:pPr>
      <w:r>
        <w:rPr>
          <w:b/>
          <w:sz w:val="24"/>
          <w:szCs w:val="24"/>
        </w:rPr>
        <w:t>OPATRENIA PROTI VZNIKU REZISTENCIE</w:t>
      </w:r>
    </w:p>
    <w:p>
      <w:pPr>
        <w:pStyle w:val="Normal"/>
        <w:ind w:right="-1" w:hanging="0"/>
        <w:jc w:val="both"/>
        <w:rPr>
          <w:sz w:val="24"/>
          <w:szCs w:val="24"/>
        </w:rPr>
      </w:pPr>
      <w:r>
        <w:rPr>
          <w:sz w:val="24"/>
          <w:szCs w:val="24"/>
        </w:rPr>
        <w:t>Účinná látka patrí do skupiny syntetických auxínov (skupina O podľa HRAC), je absorbovaná listami a byľami, následne translokovaná akropetálne a bazipetálne s akumuláciou v meristematických pletivách rastlín a prejavujúcim sa „auxínovým“ účinkom.</w:t>
      </w:r>
    </w:p>
    <w:p>
      <w:pPr>
        <w:pStyle w:val="Normal"/>
        <w:ind w:right="-1" w:hanging="0"/>
        <w:jc w:val="both"/>
        <w:rPr>
          <w:sz w:val="24"/>
          <w:szCs w:val="24"/>
        </w:rPr>
      </w:pPr>
      <w:r>
        <w:rPr>
          <w:sz w:val="24"/>
          <w:szCs w:val="24"/>
        </w:rPr>
        <w:t>Nebola zaznamenaná rezistencia na účinnú látku pre indikované spektrum citlivých burín. Proti vzniku rezistencie dodržiavajte najmä nasledovné opatrenia:</w:t>
      </w:r>
    </w:p>
    <w:p>
      <w:pPr>
        <w:pStyle w:val="Normal"/>
        <w:numPr>
          <w:ilvl w:val="0"/>
          <w:numId w:val="1"/>
        </w:numPr>
        <w:jc w:val="both"/>
        <w:rPr>
          <w:sz w:val="24"/>
          <w:szCs w:val="24"/>
        </w:rPr>
      </w:pPr>
      <w:r>
        <w:rPr>
          <w:sz w:val="24"/>
          <w:szCs w:val="24"/>
        </w:rPr>
        <w:t>dodržiavajte zásady striedania plodín,</w:t>
      </w:r>
    </w:p>
    <w:p>
      <w:pPr>
        <w:pStyle w:val="Normal"/>
        <w:numPr>
          <w:ilvl w:val="0"/>
          <w:numId w:val="1"/>
        </w:numPr>
        <w:jc w:val="both"/>
        <w:rPr>
          <w:sz w:val="24"/>
          <w:szCs w:val="24"/>
        </w:rPr>
      </w:pPr>
      <w:r>
        <w:rPr>
          <w:sz w:val="24"/>
          <w:szCs w:val="24"/>
        </w:rPr>
        <w:t>aplikujte registrované dávky prípravku,</w:t>
      </w:r>
    </w:p>
    <w:p>
      <w:pPr>
        <w:pStyle w:val="Normal"/>
        <w:numPr>
          <w:ilvl w:val="0"/>
          <w:numId w:val="1"/>
        </w:numPr>
        <w:jc w:val="both"/>
        <w:rPr>
          <w:sz w:val="24"/>
          <w:szCs w:val="24"/>
        </w:rPr>
      </w:pPr>
      <w:r>
        <w:rPr>
          <w:sz w:val="24"/>
          <w:szCs w:val="24"/>
        </w:rPr>
        <w:t>dodržiavajte zásady správnej kultivácie pôdy.</w:t>
      </w:r>
    </w:p>
    <w:p>
      <w:pPr>
        <w:pStyle w:val="Normal"/>
        <w:numPr>
          <w:ilvl w:val="0"/>
          <w:numId w:val="1"/>
        </w:numPr>
        <w:jc w:val="both"/>
        <w:rPr>
          <w:sz w:val="24"/>
          <w:szCs w:val="24"/>
        </w:rPr>
      </w:pPr>
      <w:r>
        <w:rPr>
          <w:sz w:val="24"/>
          <w:szCs w:val="24"/>
        </w:rPr>
        <w:t>Ak aplikujete TM, nepoužívajte prípravky s rovnakým účinkom.</w:t>
      </w:r>
    </w:p>
    <w:p>
      <w:pPr>
        <w:pStyle w:val="Normal"/>
        <w:ind w:right="-1" w:hanging="0"/>
        <w:jc w:val="both"/>
        <w:rPr>
          <w:sz w:val="24"/>
          <w:szCs w:val="24"/>
        </w:rPr>
      </w:pPr>
      <w:r>
        <w:rPr>
          <w:sz w:val="24"/>
          <w:szCs w:val="24"/>
        </w:rPr>
      </w:r>
    </w:p>
    <w:p>
      <w:pPr>
        <w:pStyle w:val="Normal"/>
        <w:widowControl w:val="false"/>
        <w:overflowPunct w:val="false"/>
        <w:jc w:val="both"/>
        <w:textAlignment w:val="auto"/>
        <w:rPr>
          <w:sz w:val="24"/>
          <w:szCs w:val="24"/>
          <w:lang w:eastAsia="cs-CZ"/>
        </w:rPr>
      </w:pPr>
      <w:r>
        <w:rPr>
          <w:b/>
          <w:sz w:val="24"/>
          <w:szCs w:val="24"/>
          <w:lang w:eastAsia="cs-CZ"/>
        </w:rPr>
        <w:t>VPLYV NA ÚRODU</w:t>
      </w:r>
      <w:r>
        <w:rPr>
          <w:sz w:val="24"/>
          <w:szCs w:val="24"/>
          <w:lang w:eastAsia="cs-CZ"/>
        </w:rPr>
        <w:t xml:space="preserve"> </w:t>
      </w:r>
    </w:p>
    <w:p>
      <w:pPr>
        <w:pStyle w:val="Normal"/>
        <w:ind w:right="-1" w:hanging="0"/>
        <w:jc w:val="both"/>
        <w:rPr>
          <w:sz w:val="24"/>
          <w:szCs w:val="24"/>
        </w:rPr>
      </w:pPr>
      <w:r>
        <w:rPr>
          <w:sz w:val="24"/>
          <w:szCs w:val="24"/>
        </w:rPr>
        <w:t>Pre povolený rozsah a spôsob použitia prípravku nemá aplikácia prípravku negatívny vplyv na úrodu.</w:t>
      </w:r>
    </w:p>
    <w:p>
      <w:pPr>
        <w:pStyle w:val="Normal"/>
        <w:ind w:right="-1" w:hanging="0"/>
        <w:jc w:val="both"/>
        <w:rPr>
          <w:b/>
          <w:b/>
          <w:sz w:val="24"/>
          <w:szCs w:val="24"/>
        </w:rPr>
      </w:pPr>
      <w:r>
        <w:rPr>
          <w:b/>
          <w:sz w:val="24"/>
          <w:szCs w:val="24"/>
        </w:rPr>
      </w:r>
    </w:p>
    <w:p>
      <w:pPr>
        <w:pStyle w:val="Normal"/>
        <w:ind w:right="-1" w:hanging="0"/>
        <w:jc w:val="both"/>
        <w:rPr>
          <w:b/>
          <w:b/>
          <w:sz w:val="24"/>
          <w:szCs w:val="24"/>
        </w:rPr>
      </w:pPr>
      <w:r>
        <w:rPr>
          <w:b/>
          <w:sz w:val="24"/>
          <w:szCs w:val="24"/>
        </w:rPr>
        <w:t xml:space="preserve">VPLYV NA NÁSLEDNÉ, NÁHRADNÉ A SUSEDIACE PLODINY </w:t>
      </w:r>
    </w:p>
    <w:p>
      <w:pPr>
        <w:pStyle w:val="Normal"/>
        <w:ind w:right="-1" w:hanging="0"/>
        <w:jc w:val="both"/>
        <w:rPr>
          <w:sz w:val="24"/>
          <w:szCs w:val="24"/>
        </w:rPr>
      </w:pPr>
      <w:r>
        <w:rPr>
          <w:sz w:val="24"/>
          <w:szCs w:val="24"/>
        </w:rPr>
        <w:t>Obilniny, kukurica a plodiny z čeľade kapustovitých môžu byť siate hneď po aplikácií prípravku. Ostatné dvojklíčnolistové plodiny nemôžu byť vysievané skôr ako po 9 mesiacoch od poslednej aplikácie. Niektoré plodiny ako napríklad zemiak, slnečnica, rajčiak, paprika, cuketa, strukoviny (sója, hrach, ...) sú zvlášť citlivé na rezíduá účinných látok. Pred sejbou citlivých plodín sa ubezpečte, že všetky pozberové zvyšky sú rozložené. Pozberové zvyšky zapracujte čo najskôr do pôdy.</w:t>
      </w:r>
    </w:p>
    <w:p>
      <w:pPr>
        <w:pStyle w:val="Normal"/>
        <w:ind w:right="-1" w:hanging="0"/>
        <w:jc w:val="both"/>
        <w:rPr>
          <w:b/>
          <w:b/>
          <w:sz w:val="24"/>
          <w:szCs w:val="24"/>
        </w:rPr>
      </w:pPr>
      <w:r>
        <w:rPr>
          <w:b/>
          <w:sz w:val="24"/>
          <w:szCs w:val="24"/>
        </w:rPr>
        <w:t>Prípravok nesmie úletom pri aplikácií zasiahnuť susediace citlivé plodiny!</w:t>
      </w:r>
      <w:r>
        <w:rPr>
          <w:sz w:val="24"/>
          <w:szCs w:val="24"/>
        </w:rPr>
        <w:t xml:space="preserve"> </w:t>
      </w:r>
      <w:r>
        <w:rPr>
          <w:b/>
          <w:sz w:val="24"/>
          <w:szCs w:val="24"/>
        </w:rPr>
        <w:t>Mimoriadne citlivé sú lucerna, ďatelina, ovocné sady, vinič a chmeľ. V blízkosti týchto plodín ošetrujte len pri vhodných podmienkach (bezvetrie, nižšie teploty).</w:t>
      </w:r>
    </w:p>
    <w:p>
      <w:pPr>
        <w:pStyle w:val="Normal"/>
        <w:ind w:right="-1" w:hanging="0"/>
        <w:jc w:val="both"/>
        <w:rPr>
          <w:caps/>
          <w:sz w:val="24"/>
          <w:szCs w:val="24"/>
        </w:rPr>
      </w:pPr>
      <w:r>
        <w:rPr>
          <w:caps/>
          <w:sz w:val="24"/>
          <w:szCs w:val="24"/>
        </w:rPr>
      </w:r>
    </w:p>
    <w:p>
      <w:pPr>
        <w:pStyle w:val="Normal"/>
        <w:ind w:right="-1" w:hanging="0"/>
        <w:jc w:val="both"/>
        <w:rPr>
          <w:b/>
          <w:b/>
          <w:caps/>
          <w:sz w:val="24"/>
          <w:szCs w:val="24"/>
        </w:rPr>
      </w:pPr>
      <w:r>
        <w:rPr>
          <w:b/>
          <w:caps/>
          <w:sz w:val="24"/>
          <w:szCs w:val="24"/>
        </w:rPr>
        <w:t>Vplyv na užitočné a iné necieĽOVÉ organizmy</w:t>
      </w:r>
    </w:p>
    <w:p>
      <w:pPr>
        <w:pStyle w:val="Normal"/>
        <w:ind w:right="-1" w:hanging="0"/>
        <w:jc w:val="both"/>
        <w:rPr>
          <w:sz w:val="24"/>
          <w:szCs w:val="24"/>
        </w:rPr>
      </w:pPr>
      <w:r>
        <w:rPr>
          <w:sz w:val="24"/>
          <w:szCs w:val="24"/>
        </w:rPr>
        <w:t>Prípravok je selektívny herbicíd. Riziko vyplývajúce z použitia prípravku pri dodržaní predpísanej dávky alebo koncentrácie je  prijateľné.</w:t>
      </w:r>
    </w:p>
    <w:p>
      <w:pPr>
        <w:pStyle w:val="NormalIndent"/>
        <w:ind w:left="0" w:hanging="0"/>
        <w:jc w:val="both"/>
        <w:rPr>
          <w:sz w:val="24"/>
          <w:szCs w:val="24"/>
          <w:lang w:val="sk-SK"/>
        </w:rPr>
      </w:pPr>
      <w:r>
        <w:rPr>
          <w:sz w:val="24"/>
          <w:szCs w:val="24"/>
          <w:lang w:val="sk-SK"/>
        </w:rPr>
      </w:r>
    </w:p>
    <w:p>
      <w:pPr>
        <w:pStyle w:val="Normal"/>
        <w:jc w:val="both"/>
        <w:rPr>
          <w:sz w:val="24"/>
          <w:szCs w:val="24"/>
        </w:rPr>
      </w:pPr>
      <w:r>
        <w:rPr>
          <w:b/>
          <w:sz w:val="24"/>
          <w:szCs w:val="24"/>
        </w:rPr>
        <w:t>PRÍPRAVA POSTREKOVEJ KVAPALINY A ZNEŠKODNENIE OBALOV</w:t>
      </w:r>
    </w:p>
    <w:p>
      <w:pPr>
        <w:pStyle w:val="Normal"/>
        <w:jc w:val="both"/>
        <w:rPr>
          <w:sz w:val="24"/>
          <w:szCs w:val="24"/>
        </w:rPr>
      </w:pPr>
      <w:r>
        <w:rPr>
          <w:sz w:val="24"/>
          <w:szCs w:val="24"/>
        </w:rPr>
        <w:t>Odmerané množstvo prípravku vlejte do nádrže postrekovača naplnenej do polovice vodou a po premiešaní doplňte na požadovaný objem. Zakázané je pri príprave TM miešať koncentráty, prípravky vlievajte do nádrže postrekovača oddelene. Prázdny obal z tohto prípravku vypláchnite vodou, a to buď ručne (3 krát po sebe) alebo v primiešavacom zariadení, ktoré je súčasťou postrekovača. Výplachovú vodu vlejte do nádrže postrekovača a obal odovzdajte vášmu zmluvnému subjektu, ktorý má oprávnenie na zber a zneškodňovanie prázdnych obalov.</w:t>
      </w:r>
    </w:p>
    <w:p>
      <w:pPr>
        <w:pStyle w:val="Normal"/>
        <w:jc w:val="both"/>
        <w:rPr>
          <w:sz w:val="24"/>
          <w:szCs w:val="24"/>
        </w:rPr>
      </w:pPr>
      <w:r>
        <w:rPr>
          <w:sz w:val="24"/>
          <w:szCs w:val="24"/>
        </w:rPr>
        <w:t>Pripravte si len také množstvo postrekovej kvapaliny, ktoré spotrebujete.</w:t>
      </w:r>
    </w:p>
    <w:p>
      <w:pPr>
        <w:pStyle w:val="Normal"/>
        <w:jc w:val="both"/>
        <w:rPr>
          <w:sz w:val="24"/>
          <w:szCs w:val="24"/>
        </w:rPr>
      </w:pPr>
      <w:r>
        <w:rPr>
          <w:sz w:val="24"/>
          <w:szCs w:val="24"/>
        </w:rPr>
        <w:t>Zákaz opätovného použitia obalu alebo jeho použitia na iné účely!</w:t>
      </w:r>
    </w:p>
    <w:p>
      <w:pPr>
        <w:pStyle w:val="Normal"/>
        <w:jc w:val="both"/>
        <w:rPr>
          <w:sz w:val="24"/>
          <w:szCs w:val="24"/>
        </w:rPr>
      </w:pPr>
      <w:r>
        <w:rPr>
          <w:sz w:val="24"/>
          <w:szCs w:val="24"/>
        </w:rPr>
      </w:r>
    </w:p>
    <w:p>
      <w:pPr>
        <w:pStyle w:val="Normal"/>
        <w:jc w:val="both"/>
        <w:rPr>
          <w:b/>
          <w:b/>
          <w:sz w:val="24"/>
          <w:szCs w:val="24"/>
        </w:rPr>
      </w:pPr>
      <w:r>
        <w:rPr>
          <w:b/>
          <w:sz w:val="24"/>
          <w:szCs w:val="24"/>
        </w:rPr>
        <w:t>ČISTENIE APLIKAČNÉHO ZARIADENIA</w:t>
      </w:r>
    </w:p>
    <w:p>
      <w:pPr>
        <w:pStyle w:val="Normal"/>
        <w:ind w:right="57" w:hanging="0"/>
        <w:jc w:val="both"/>
        <w:rPr>
          <w:sz w:val="24"/>
          <w:szCs w:val="24"/>
        </w:rPr>
      </w:pPr>
      <w:r>
        <w:rPr>
          <w:sz w:val="24"/>
          <w:szCs w:val="24"/>
        </w:rPr>
        <w:t>Aby neskôr nedošlo k poškodeniu iných plodín ošetrovaných postrekovačom, musia byť všetky zvyšky prípravku z miešacích nádrží a postrekovača ihneď po ukončení postreku odstránené podľa nasledovného postupu:</w:t>
      </w:r>
    </w:p>
    <w:p>
      <w:pPr>
        <w:pStyle w:val="Normal"/>
        <w:numPr>
          <w:ilvl w:val="0"/>
          <w:numId w:val="2"/>
        </w:numPr>
        <w:tabs>
          <w:tab w:val="left" w:pos="0" w:leader="none"/>
        </w:tabs>
        <w:ind w:left="360" w:right="57" w:hanging="360"/>
        <w:jc w:val="both"/>
        <w:rPr>
          <w:sz w:val="24"/>
          <w:szCs w:val="24"/>
        </w:rPr>
      </w:pPr>
      <w:r>
        <w:rPr>
          <w:sz w:val="24"/>
          <w:szCs w:val="24"/>
        </w:rPr>
        <w:t xml:space="preserve">a) </w:t>
        <w:tab/>
        <w:t>Po vypustení nádrže vyplachujte nádrž, ramená a trysky čistou vodou po dobu aspoň 10 minút.</w:t>
      </w:r>
    </w:p>
    <w:p>
      <w:pPr>
        <w:pStyle w:val="Normal"/>
        <w:numPr>
          <w:ilvl w:val="0"/>
          <w:numId w:val="2"/>
        </w:numPr>
        <w:tabs>
          <w:tab w:val="left" w:pos="0" w:leader="none"/>
          <w:tab w:val="left" w:pos="360" w:leader="none"/>
        </w:tabs>
        <w:ind w:left="360" w:right="57" w:hanging="360"/>
        <w:jc w:val="both"/>
        <w:rPr>
          <w:sz w:val="24"/>
          <w:szCs w:val="24"/>
        </w:rPr>
      </w:pPr>
      <w:r>
        <w:rPr>
          <w:sz w:val="24"/>
          <w:szCs w:val="24"/>
        </w:rPr>
        <w:t>b)</w:t>
        <w:tab/>
        <w:t>Naplňte nádrž čistou vodou a za miešania pridajte čistiaci prostriedok určený na dekontamináciu. Týmto roztokom vypláchnite ramená a trysky a nechajte 15 minút bez miešania a potom vypustite.</w:t>
      </w:r>
    </w:p>
    <w:p>
      <w:pPr>
        <w:pStyle w:val="Normal"/>
        <w:numPr>
          <w:ilvl w:val="0"/>
          <w:numId w:val="2"/>
        </w:numPr>
        <w:tabs>
          <w:tab w:val="left" w:pos="0" w:leader="none"/>
        </w:tabs>
        <w:ind w:left="360" w:right="57" w:hanging="360"/>
        <w:jc w:val="both"/>
        <w:rPr>
          <w:sz w:val="24"/>
          <w:szCs w:val="24"/>
        </w:rPr>
      </w:pPr>
      <w:r>
        <w:rPr>
          <w:sz w:val="24"/>
          <w:szCs w:val="24"/>
        </w:rPr>
        <w:t xml:space="preserve">c) </w:t>
        <w:tab/>
        <w:t xml:space="preserve">Opakujte postup podľa bodu b) ešte raz. </w:t>
      </w:r>
    </w:p>
    <w:p>
      <w:pPr>
        <w:pStyle w:val="Normal"/>
        <w:numPr>
          <w:ilvl w:val="0"/>
          <w:numId w:val="2"/>
        </w:numPr>
        <w:tabs>
          <w:tab w:val="left" w:pos="0" w:leader="none"/>
        </w:tabs>
        <w:ind w:left="360" w:right="57" w:hanging="360"/>
        <w:jc w:val="both"/>
        <w:rPr>
          <w:sz w:val="24"/>
          <w:szCs w:val="24"/>
        </w:rPr>
      </w:pPr>
      <w:r>
        <w:rPr>
          <w:sz w:val="24"/>
          <w:szCs w:val="24"/>
        </w:rPr>
        <w:t>d)</w:t>
        <w:tab/>
        <w:t>Vodu po oplachu  vystriekajte na ošetrenom pozemku (nesmie však zasiahnuť zdroje podzemných ani recipienty povrchových vôd) alebo zneškodnite ako nebezpečný odpad.</w:t>
      </w:r>
    </w:p>
    <w:p>
      <w:pPr>
        <w:pStyle w:val="Normal"/>
        <w:numPr>
          <w:ilvl w:val="0"/>
          <w:numId w:val="2"/>
        </w:numPr>
        <w:tabs>
          <w:tab w:val="left" w:pos="0" w:leader="none"/>
        </w:tabs>
        <w:ind w:left="360" w:right="57" w:hanging="360"/>
        <w:jc w:val="both"/>
        <w:rPr>
          <w:sz w:val="24"/>
          <w:szCs w:val="24"/>
        </w:rPr>
      </w:pPr>
      <w:r>
        <w:rPr>
          <w:sz w:val="24"/>
          <w:szCs w:val="24"/>
        </w:rPr>
        <w:t xml:space="preserve">e) </w:t>
        <w:tab/>
        <w:t>Trysky a sitká vyčistite samostatne.</w:t>
      </w:r>
    </w:p>
    <w:p>
      <w:pPr>
        <w:pStyle w:val="Normal"/>
        <w:jc w:val="both"/>
        <w:rPr>
          <w:sz w:val="24"/>
          <w:szCs w:val="24"/>
        </w:rPr>
      </w:pPr>
      <w:r>
        <w:rPr>
          <w:sz w:val="24"/>
          <w:szCs w:val="24"/>
        </w:rPr>
      </w:r>
    </w:p>
    <w:p>
      <w:pPr>
        <w:pStyle w:val="Normal"/>
        <w:ind w:right="-1" w:hanging="0"/>
        <w:jc w:val="both"/>
        <w:rPr>
          <w:sz w:val="24"/>
          <w:szCs w:val="24"/>
        </w:rPr>
      </w:pPr>
      <w:r>
        <w:rPr>
          <w:b/>
          <w:sz w:val="24"/>
          <w:szCs w:val="24"/>
        </w:rPr>
        <w:t>BEZPEČNOSTNÉ OPATRENIA</w:t>
      </w:r>
    </w:p>
    <w:p>
      <w:pPr>
        <w:pStyle w:val="Normal"/>
        <w:jc w:val="both"/>
        <w:rPr>
          <w:sz w:val="24"/>
          <w:szCs w:val="24"/>
        </w:rPr>
      </w:pPr>
      <w:r>
        <w:rPr>
          <w:sz w:val="24"/>
          <w:szCs w:val="24"/>
        </w:rPr>
        <w:t xml:space="preserve">Používajte pri práci s prípravkom ochranný pracovný oblek, ochranný tvárový štít, resp. ochranné okuliare, respirátor, gumové rukavice a gumovú obuv a pri riedení postreku používajte aj zásteru z pogumovaného textilu. Počas práce s prípravkom a po nej až do vyzlečenia pracovného odevu a umytia celého tela mydlom a vodou, je zakázané piť, jesť a fajčiť. Postrekujte za bezvetria alebo pri miernom vánku, vždy v smere od obsluhy. </w:t>
      </w:r>
    </w:p>
    <w:p>
      <w:pPr>
        <w:pStyle w:val="NormalIndent"/>
        <w:ind w:left="0" w:hanging="0"/>
        <w:jc w:val="both"/>
        <w:rPr>
          <w:sz w:val="24"/>
          <w:szCs w:val="24"/>
          <w:lang w:val="sk-SK"/>
        </w:rPr>
      </w:pPr>
      <w:r>
        <w:rPr>
          <w:sz w:val="24"/>
          <w:szCs w:val="24"/>
          <w:lang w:val="sk-SK"/>
        </w:rPr>
        <w:t>Prípravok obsahuje ako rozpúšťadlo vodu, nie je horľavou kvapalinou; s vodou sa zmiešava v každom pomere. V prípade požiaru tento haste penou, práškom, prípadne pieskom alebo zeminou. Vodu použite len výnimočne, a to formou jemnej hmly. Pokiaľ sa dostane do ohniska požiaru, zabezpečte, aby kontaminovaná hasiaca voda, pokiaľ bola pri hasení požiaru použitá, neunikla z priestoru požiaru do okolia, najmä nesmie preniknúť do verejnej kanalizácie, zdrojov spodných vôd, recipientov povrchových vôd a na poľnohospodársku pôdu.</w:t>
      </w:r>
    </w:p>
    <w:p>
      <w:pPr>
        <w:pStyle w:val="Normal"/>
        <w:jc w:val="both"/>
        <w:rPr>
          <w:sz w:val="24"/>
          <w:szCs w:val="24"/>
        </w:rPr>
      </w:pPr>
      <w:r>
        <w:rPr>
          <w:b/>
          <w:sz w:val="24"/>
          <w:szCs w:val="24"/>
        </w:rPr>
        <w:t>Dôležité upozornenie</w:t>
      </w:r>
      <w:r>
        <w:rPr>
          <w:sz w:val="24"/>
          <w:szCs w:val="24"/>
        </w:rPr>
        <w:t>: Použite pri požiarnom zásahu izolačné dýchacie prístroje, lebo pri horení dochádza ku vzniku toxických splodín.</w:t>
      </w:r>
    </w:p>
    <w:p>
      <w:pPr>
        <w:pStyle w:val="Normal"/>
        <w:jc w:val="both"/>
        <w:rPr>
          <w:sz w:val="24"/>
          <w:szCs w:val="24"/>
        </w:rPr>
      </w:pPr>
      <w:r>
        <w:rPr>
          <w:sz w:val="24"/>
          <w:szCs w:val="24"/>
        </w:rPr>
      </w:r>
    </w:p>
    <w:p>
      <w:pPr>
        <w:pStyle w:val="Normal"/>
        <w:ind w:right="-1" w:hanging="0"/>
        <w:jc w:val="both"/>
        <w:rPr>
          <w:caps/>
          <w:sz w:val="24"/>
          <w:szCs w:val="24"/>
        </w:rPr>
      </w:pPr>
      <w:r>
        <w:rPr>
          <w:b/>
          <w:caps/>
          <w:sz w:val="24"/>
          <w:szCs w:val="24"/>
        </w:rPr>
        <w:t>Prvá pomoc</w:t>
      </w:r>
    </w:p>
    <w:p>
      <w:pPr>
        <w:pStyle w:val="Normal"/>
        <w:jc w:val="both"/>
        <w:rPr>
          <w:b/>
          <w:b/>
          <w:sz w:val="24"/>
          <w:szCs w:val="24"/>
        </w:rPr>
      </w:pPr>
      <w:r>
        <w:rPr>
          <w:b/>
          <w:sz w:val="24"/>
          <w:szCs w:val="24"/>
        </w:rPr>
        <w:t>Nikdy nepodávajte tekutiny a nevyvolávajte zvracanie, ak je pacient v bezvedomí alebo má kŕče.</w:t>
      </w:r>
    </w:p>
    <w:p>
      <w:pPr>
        <w:pStyle w:val="Normal"/>
        <w:jc w:val="both"/>
        <w:rPr>
          <w:b/>
          <w:b/>
          <w:sz w:val="24"/>
          <w:szCs w:val="24"/>
        </w:rPr>
      </w:pPr>
      <w:r>
        <w:rPr>
          <w:b/>
          <w:sz w:val="24"/>
          <w:szCs w:val="24"/>
        </w:rPr>
        <w:t>Po nadýchaní:</w:t>
      </w:r>
      <w:r>
        <w:rPr>
          <w:sz w:val="24"/>
          <w:szCs w:val="24"/>
        </w:rPr>
        <w:t xml:space="preserve"> Opustite zamorený priestor, zabezpečte pobyt na čistom vzduchu, rozopnite na hrudníku odev, zabezpečte pokoj a teplo. Poraďte sa s lekárom.</w:t>
      </w:r>
    </w:p>
    <w:p>
      <w:pPr>
        <w:pStyle w:val="Normal"/>
        <w:jc w:val="both"/>
        <w:rPr>
          <w:sz w:val="24"/>
          <w:szCs w:val="24"/>
        </w:rPr>
      </w:pPr>
      <w:r>
        <w:rPr>
          <w:b/>
          <w:sz w:val="24"/>
          <w:szCs w:val="24"/>
        </w:rPr>
        <w:t>Po požití:</w:t>
      </w:r>
      <w:r>
        <w:rPr>
          <w:sz w:val="24"/>
          <w:szCs w:val="24"/>
        </w:rPr>
        <w:t xml:space="preserve"> Nevyvolávajte zvracanie! Ak je pacient pri vedomí, vypláchnite mu ústa vodou a nechajte ho vypiť veľké množstvo vody. Poraďte sa s lekárom. O vyvolaní/nevyvolaní zvracania musí rozhodnúť lekár. Privolajte ihneď lekára.</w:t>
      </w:r>
    </w:p>
    <w:p>
      <w:pPr>
        <w:pStyle w:val="Normal"/>
        <w:jc w:val="both"/>
        <w:rPr>
          <w:sz w:val="24"/>
          <w:szCs w:val="24"/>
        </w:rPr>
      </w:pPr>
      <w:r>
        <w:rPr>
          <w:b/>
          <w:sz w:val="24"/>
          <w:szCs w:val="24"/>
        </w:rPr>
        <w:t>Po zasiahnutí očí:</w:t>
      </w:r>
      <w:r>
        <w:rPr>
          <w:sz w:val="24"/>
          <w:szCs w:val="24"/>
        </w:rPr>
        <w:t xml:space="preserve"> Oči dôkladne vyplachujte niekoľko minút veľkým množstvom vody. Vyberte kontaktné šošovky po 1-2 minútach a pokračujte vo vyplachovaní. Vyhľadajte lekársku pomoc, podľa možnosti oftalmológa.</w:t>
      </w:r>
    </w:p>
    <w:p>
      <w:pPr>
        <w:pStyle w:val="Normal"/>
        <w:ind w:right="-1" w:hanging="0"/>
        <w:jc w:val="both"/>
        <w:rPr>
          <w:sz w:val="24"/>
          <w:szCs w:val="24"/>
        </w:rPr>
      </w:pPr>
      <w:r>
        <w:rPr>
          <w:b/>
          <w:sz w:val="24"/>
          <w:szCs w:val="24"/>
        </w:rPr>
        <w:t xml:space="preserve">Po zasiahnutí pokožky: </w:t>
      </w:r>
      <w:r>
        <w:rPr>
          <w:sz w:val="24"/>
          <w:szCs w:val="24"/>
        </w:rPr>
        <w:t>Odstráňte zamorený odev a postihnuté miesto dôkladne umyte teplou vodou a mydlom. Zasiahnutý odev pred opätovným použitím vyperte.</w:t>
      </w:r>
    </w:p>
    <w:p>
      <w:pPr>
        <w:pStyle w:val="Normal"/>
        <w:ind w:right="-1" w:hanging="0"/>
        <w:jc w:val="both"/>
        <w:rPr>
          <w:sz w:val="24"/>
          <w:szCs w:val="24"/>
        </w:rPr>
      </w:pPr>
      <w:r>
        <w:rPr>
          <w:b/>
          <w:sz w:val="24"/>
          <w:szCs w:val="24"/>
        </w:rPr>
        <w:t xml:space="preserve">Správa pre lekára: </w:t>
      </w:r>
      <w:r>
        <w:rPr>
          <w:sz w:val="24"/>
          <w:szCs w:val="24"/>
        </w:rPr>
        <w:t>Nie je známy žiadny špecifický protijed. Podporná liečba. Liečba je založená na posudku lekára, ktorý vychádza zo symptómov pacienta.</w:t>
      </w:r>
    </w:p>
    <w:p>
      <w:pPr>
        <w:pStyle w:val="Normal"/>
        <w:jc w:val="both"/>
        <w:rPr>
          <w:sz w:val="24"/>
          <w:szCs w:val="24"/>
        </w:rPr>
      </w:pPr>
      <w:r>
        <w:rPr>
          <w:b/>
          <w:sz w:val="24"/>
          <w:szCs w:val="24"/>
        </w:rPr>
        <w:t>Pri otrave alebo podozrení na otravu</w:t>
      </w:r>
      <w:r>
        <w:rPr>
          <w:sz w:val="24"/>
          <w:szCs w:val="24"/>
        </w:rPr>
        <w:t xml:space="preserve"> privolajte lekára a informujte ho o prípravku a poskytnutej prvej pomoci.</w:t>
      </w:r>
    </w:p>
    <w:p>
      <w:pPr>
        <w:pStyle w:val="Normal"/>
        <w:jc w:val="both"/>
        <w:rPr>
          <w:sz w:val="24"/>
          <w:szCs w:val="24"/>
        </w:rPr>
      </w:pPr>
      <w:r>
        <w:rPr>
          <w:sz w:val="24"/>
          <w:szCs w:val="24"/>
        </w:rPr>
        <w:t>V prípade potreby môže lekár liečbu konzultovať s Národným toxikologickým informačným centrom v Bratislave (číslo telefónu: 02/54 77 41 66).</w:t>
      </w:r>
    </w:p>
    <w:p>
      <w:pPr>
        <w:pStyle w:val="Normal"/>
        <w:jc w:val="both"/>
        <w:rPr>
          <w:sz w:val="24"/>
          <w:szCs w:val="24"/>
        </w:rPr>
      </w:pPr>
      <w:r>
        <w:rPr>
          <w:sz w:val="24"/>
          <w:szCs w:val="24"/>
        </w:rPr>
      </w:r>
    </w:p>
    <w:p>
      <w:pPr>
        <w:pStyle w:val="Normal"/>
        <w:jc w:val="both"/>
        <w:rPr>
          <w:b/>
          <w:b/>
          <w:sz w:val="24"/>
          <w:szCs w:val="24"/>
        </w:rPr>
      </w:pPr>
      <w:r>
        <w:rPr>
          <w:b/>
          <w:sz w:val="24"/>
          <w:szCs w:val="24"/>
        </w:rPr>
        <w:t>SKLADOVANIE</w:t>
      </w:r>
    </w:p>
    <w:p>
      <w:pPr>
        <w:pStyle w:val="Normal"/>
        <w:jc w:val="both"/>
        <w:rPr>
          <w:sz w:val="24"/>
          <w:szCs w:val="24"/>
        </w:rPr>
      </w:pPr>
      <w:r>
        <w:rPr>
          <w:sz w:val="24"/>
          <w:szCs w:val="24"/>
        </w:rPr>
        <w:t>Prípravok LONTREL 300 skladujte v pôvodných neporušených obaloch, v suchých, chladných, dobre vetrateľných, hygienicky čistých a uzamknutých skladoch, oddelene od potravín, nápojov, krmív, hnojív, liekov, dezinfekčných prostriedkov a prázdnych obalov od týchto látok pri teplotách +5°C až +30°C. Chráňte pred mrazom, ohňom a priamym slnečným svetlom. Doba použiteľnosti prípravku je pri dodržaní skladovacích podmienok v originálnych nepoškodených obaloch 2 roky od dátumu výroby.</w:t>
      </w:r>
    </w:p>
    <w:p>
      <w:pPr>
        <w:pStyle w:val="Normal"/>
        <w:jc w:val="both"/>
        <w:rPr>
          <w:sz w:val="24"/>
          <w:szCs w:val="24"/>
        </w:rPr>
      </w:pPr>
      <w:r>
        <w:rPr>
          <w:sz w:val="24"/>
          <w:szCs w:val="24"/>
        </w:rPr>
      </w:r>
    </w:p>
    <w:p>
      <w:pPr>
        <w:pStyle w:val="Normal"/>
        <w:ind w:right="-1" w:hanging="0"/>
        <w:jc w:val="both"/>
        <w:rPr>
          <w:b/>
          <w:b/>
          <w:sz w:val="24"/>
          <w:szCs w:val="24"/>
        </w:rPr>
      </w:pPr>
      <w:r>
        <w:rPr>
          <w:b/>
          <w:sz w:val="24"/>
          <w:szCs w:val="24"/>
        </w:rPr>
        <w:t>ZNEŠKODNENIE ZVYŠKOV</w:t>
      </w:r>
    </w:p>
    <w:p>
      <w:pPr>
        <w:pStyle w:val="Normal"/>
        <w:jc w:val="both"/>
        <w:rPr>
          <w:sz w:val="24"/>
          <w:szCs w:val="24"/>
        </w:rPr>
      </w:pPr>
      <w:r>
        <w:rPr>
          <w:sz w:val="24"/>
          <w:szCs w:val="24"/>
        </w:rPr>
        <w:t xml:space="preserve">Nepoužité zvyšky prípravku v pôvodnom obale zneškodnite ako nebezpečný odpad. </w:t>
      </w:r>
    </w:p>
    <w:p>
      <w:pPr>
        <w:pStyle w:val="Normal"/>
        <w:widowControl w:val="false"/>
        <w:overflowPunct w:val="false"/>
        <w:jc w:val="both"/>
        <w:textAlignment w:val="auto"/>
        <w:rPr>
          <w:sz w:val="24"/>
          <w:szCs w:val="24"/>
          <w:lang w:eastAsia="cs-CZ"/>
        </w:rPr>
      </w:pPr>
      <w:r>
        <w:rPr>
          <w:sz w:val="24"/>
          <w:szCs w:val="24"/>
          <w:lang w:eastAsia="cs-CZ"/>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p>
      <w:pPr>
        <w:pStyle w:val="Normal"/>
        <w:pBdr/>
        <w:jc w:val="both"/>
        <w:rPr/>
      </w:pPr>
      <w:r>
        <w:rPr/>
      </w:r>
    </w:p>
    <w:sectPr>
      <w:headerReference w:type="default" r:id="rId3"/>
      <w:footerReference w:type="default" r:id="rId4"/>
      <w:type w:val="nextPage"/>
      <w:pgSz w:w="11906" w:h="16838"/>
      <w:pgMar w:left="1134" w:right="992" w:header="737" w:top="1361" w:footer="561" w:bottom="1361"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Liberation Sans">
    <w:altName w:val="Arial"/>
    <w:charset w:val="ee"/>
    <w:family w:val="swiss"/>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right"/>
      <w:rPr>
        <w:b/>
        <w:b/>
        <w:bCs/>
        <w:sz w:val="24"/>
        <w:szCs w:val="24"/>
      </w:rPr>
    </w:pPr>
    <w:r>
      <w:rPr>
        <w:b/>
        <w:bCs/>
        <w:sz w:val="24"/>
        <w:szCs w:val="24"/>
      </w:rPr>
    </w:r>
  </w:p>
  <w:tbl>
    <w:tblPr>
      <w:tblW w:w="9672" w:type="dxa"/>
      <w:jc w:val="left"/>
      <w:tblInd w:w="109" w:type="dxa"/>
      <w:tblBorders/>
      <w:tblCellMar>
        <w:top w:w="0" w:type="dxa"/>
        <w:left w:w="108" w:type="dxa"/>
        <w:bottom w:w="0" w:type="dxa"/>
        <w:right w:w="108" w:type="dxa"/>
      </w:tblCellMar>
      <w:tblLook w:firstRow="1" w:noVBand="1" w:lastRow="0" w:firstColumn="1" w:lastColumn="0" w:noHBand="0" w:val="04a0"/>
    </w:tblPr>
    <w:tblGrid>
      <w:gridCol w:w="4637"/>
      <w:gridCol w:w="5034"/>
    </w:tblGrid>
    <w:tr>
      <w:trPr/>
      <w:tc>
        <w:tcPr>
          <w:tcW w:w="4637" w:type="dxa"/>
          <w:tcBorders/>
          <w:shd w:fill="auto" w:val="clear"/>
        </w:tcPr>
        <w:p>
          <w:pPr>
            <w:pStyle w:val="Normal"/>
            <w:numPr>
              <w:ilvl w:val="0"/>
              <w:numId w:val="0"/>
            </w:numPr>
            <w:overflowPunct w:val="false"/>
            <w:jc w:val="both"/>
            <w:textAlignment w:val="auto"/>
            <w:outlineLvl w:val="0"/>
            <w:rPr>
              <w:sz w:val="22"/>
              <w:szCs w:val="22"/>
              <w:lang w:eastAsia="en-US"/>
            </w:rPr>
          </w:pPr>
          <w:r>
            <w:rPr>
              <w:sz w:val="22"/>
              <w:szCs w:val="22"/>
              <w:lang w:eastAsia="en-US"/>
            </w:rPr>
            <w:t>ICZ/2018/06671/ce</w:t>
          </w:r>
        </w:p>
      </w:tc>
      <w:tc>
        <w:tcPr>
          <w:tcW w:w="5034" w:type="dxa"/>
          <w:tcBorders/>
          <w:shd w:fill="auto" w:val="clear"/>
        </w:tcPr>
        <w:p>
          <w:pPr>
            <w:pStyle w:val="Pta"/>
            <w:jc w:val="right"/>
            <w:rPr/>
          </w:pPr>
          <w:r>
            <w:rPr>
              <w:bCs/>
              <w:sz w:val="22"/>
              <w:szCs w:val="22"/>
            </w:rPr>
            <w:fldChar w:fldCharType="begin"/>
          </w:r>
          <w:r>
            <w:instrText> PAGE </w:instrText>
          </w:r>
          <w:r>
            <w:fldChar w:fldCharType="separate"/>
          </w:r>
          <w:r>
            <w:t>7</w:t>
          </w:r>
          <w:r>
            <w:fldChar w:fldCharType="end"/>
          </w:r>
          <w:r>
            <w:rPr>
              <w:sz w:val="22"/>
              <w:szCs w:val="22"/>
            </w:rPr>
            <w:t xml:space="preserve"> </w:t>
          </w:r>
          <w:r>
            <w:rPr>
              <w:sz w:val="22"/>
              <w:szCs w:val="22"/>
            </w:rPr>
            <w:t xml:space="preserve">/ </w:t>
          </w:r>
          <w:r>
            <w:rPr>
              <w:bCs/>
              <w:sz w:val="22"/>
              <w:szCs w:val="22"/>
            </w:rPr>
            <w:fldChar w:fldCharType="begin"/>
          </w:r>
          <w:r>
            <w:instrText> NUMPAGES </w:instrText>
          </w:r>
          <w:r>
            <w:fldChar w:fldCharType="separate"/>
          </w:r>
          <w:r>
            <w:t>7</w:t>
          </w:r>
          <w:r>
            <w:fldChar w:fldCharType="end"/>
          </w:r>
        </w:p>
      </w:tc>
    </w:tr>
  </w:tbl>
  <w:p>
    <w:pPr>
      <w:pStyle w:val="Normal"/>
      <w:ind w:right="-1"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right"/>
      <w:rPr>
        <w:sz w:val="22"/>
        <w:szCs w:val="22"/>
      </w:rPr>
    </w:pPr>
    <w:r>
      <w:rPr>
        <w:sz w:val="22"/>
        <w:szCs w:val="22"/>
      </w:rPr>
      <w:t>Etiketa schválená: 28.06.2018</w:t>
    </w:r>
  </w:p>
  <w:p>
    <w:pPr>
      <w:pStyle w:val="Hlavi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2e7d"/>
    <w:pPr>
      <w:widowControl/>
      <w:overflowPunct w:val="true"/>
      <w:bidi w:val="0"/>
      <w:jc w:val="left"/>
      <w:textAlignment w:val="baseline"/>
    </w:pPr>
    <w:rPr>
      <w:rFonts w:ascii="Times New Roman" w:hAnsi="Times New Roman" w:eastAsia="Times New Roman" w:cs="Times New Roman"/>
      <w:color w:val="auto"/>
      <w:sz w:val="20"/>
      <w:szCs w:val="20"/>
      <w:lang w:val="sk-SK" w:eastAsia="sk-SK" w:bidi="ar-SA"/>
    </w:rPr>
  </w:style>
  <w:style w:type="paragraph" w:styleId="Nadpis1">
    <w:name w:val="Heading 1"/>
    <w:basedOn w:val="Normal"/>
    <w:qFormat/>
    <w:pPr>
      <w:spacing w:before="240" w:after="0"/>
      <w:outlineLvl w:val="0"/>
    </w:pPr>
    <w:rPr>
      <w:rFonts w:ascii="Arial" w:hAnsi="Arial"/>
      <w:b/>
      <w:sz w:val="24"/>
      <w:u w:val="single"/>
      <w:lang w:val="en-GB"/>
    </w:rPr>
  </w:style>
  <w:style w:type="paragraph" w:styleId="Nadpis2">
    <w:name w:val="Heading 2"/>
    <w:basedOn w:val="Normal"/>
    <w:qFormat/>
    <w:pPr>
      <w:keepNext/>
      <w:tabs>
        <w:tab w:val="left" w:pos="1560" w:leader="none"/>
        <w:tab w:val="left" w:pos="4253" w:leader="none"/>
        <w:tab w:val="left" w:pos="6237" w:leader="none"/>
      </w:tabs>
      <w:spacing w:lineRule="atLeast" w:line="240"/>
      <w:outlineLvl w:val="1"/>
    </w:pPr>
    <w:rPr>
      <w:rFonts w:ascii="Courier New" w:hAnsi="Courier New"/>
      <w:b/>
      <w:sz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nenumber">
    <w:name w:val="line number"/>
    <w:basedOn w:val="DefaultParagraphFont"/>
    <w:qFormat/>
    <w:rsid w:val="004b0314"/>
    <w:rPr/>
  </w:style>
  <w:style w:type="character" w:styleId="Annotationreference">
    <w:name w:val="annotation reference"/>
    <w:qFormat/>
    <w:rsid w:val="00f67213"/>
    <w:rPr>
      <w:sz w:val="16"/>
      <w:szCs w:val="16"/>
    </w:rPr>
  </w:style>
  <w:style w:type="character" w:styleId="TextkomentraChar" w:customStyle="1">
    <w:name w:val="Text komentára Char"/>
    <w:basedOn w:val="DefaultParagraphFont"/>
    <w:link w:val="Textkomentra"/>
    <w:qFormat/>
    <w:rsid w:val="00f67213"/>
    <w:rPr/>
  </w:style>
  <w:style w:type="character" w:styleId="PredmetkomentraChar" w:customStyle="1">
    <w:name w:val="Predmet komentára Char"/>
    <w:link w:val="Predmetkomentra"/>
    <w:qFormat/>
    <w:rsid w:val="00f67213"/>
    <w:rPr>
      <w:b/>
      <w:bCs/>
    </w:rPr>
  </w:style>
  <w:style w:type="character" w:styleId="PtaChar" w:customStyle="1">
    <w:name w:val="Päta Char"/>
    <w:link w:val="Pta"/>
    <w:uiPriority w:val="99"/>
    <w:qFormat/>
    <w:rsid w:val="00904375"/>
    <w:rPr/>
  </w:style>
  <w:style w:type="character" w:styleId="HlavikaChar" w:customStyle="1">
    <w:name w:val="Hlavička Char"/>
    <w:link w:val="Hlavika"/>
    <w:uiPriority w:val="99"/>
    <w:qFormat/>
    <w:rsid w:val="00425cde"/>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
    <w:name w:val="Header"/>
    <w:basedOn w:val="Normal"/>
    <w:link w:val="HlavikaChar"/>
    <w:uiPriority w:val="99"/>
    <w:pPr>
      <w:tabs>
        <w:tab w:val="center" w:pos="4153" w:leader="none"/>
        <w:tab w:val="right" w:pos="8306" w:leader="none"/>
      </w:tabs>
    </w:pPr>
    <w:rPr/>
  </w:style>
  <w:style w:type="paragraph" w:styleId="Pta">
    <w:name w:val="Footer"/>
    <w:basedOn w:val="Normal"/>
    <w:link w:val="PtaChar"/>
    <w:uiPriority w:val="99"/>
    <w:pPr>
      <w:tabs>
        <w:tab w:val="center" w:pos="4153" w:leader="none"/>
        <w:tab w:val="right" w:pos="8306" w:leader="none"/>
      </w:tabs>
    </w:pPr>
    <w:rPr/>
  </w:style>
  <w:style w:type="paragraph" w:styleId="NormalIndent">
    <w:name w:val="Normal Indent"/>
    <w:basedOn w:val="Normal"/>
    <w:qFormat/>
    <w:pPr>
      <w:ind w:left="720" w:hanging="0"/>
    </w:pPr>
    <w:rPr>
      <w:lang w:val="en-GB"/>
    </w:rPr>
  </w:style>
  <w:style w:type="paragraph" w:styleId="BodyText2">
    <w:name w:val="Body Text 2"/>
    <w:basedOn w:val="Normal"/>
    <w:qFormat/>
    <w:pPr>
      <w:jc w:val="both"/>
    </w:pPr>
    <w:rPr>
      <w:sz w:val="24"/>
      <w:lang w:val="en-GB"/>
    </w:rPr>
  </w:style>
  <w:style w:type="paragraph" w:styleId="BalloonText">
    <w:name w:val="Balloon Text"/>
    <w:basedOn w:val="Normal"/>
    <w:semiHidden/>
    <w:qFormat/>
    <w:rsid w:val="00385dbc"/>
    <w:pPr/>
    <w:rPr>
      <w:rFonts w:ascii="Tahoma" w:hAnsi="Tahoma" w:cs="Tahoma"/>
      <w:sz w:val="16"/>
      <w:szCs w:val="16"/>
    </w:rPr>
  </w:style>
  <w:style w:type="paragraph" w:styleId="Annotationtext">
    <w:name w:val="annotation text"/>
    <w:basedOn w:val="Normal"/>
    <w:link w:val="TextkomentraChar"/>
    <w:qFormat/>
    <w:rsid w:val="00f67213"/>
    <w:pPr/>
    <w:rPr/>
  </w:style>
  <w:style w:type="paragraph" w:styleId="Annotationsubject">
    <w:name w:val="annotation subject"/>
    <w:basedOn w:val="Annotationtext"/>
    <w:link w:val="PredmetkomentraChar"/>
    <w:qFormat/>
    <w:rsid w:val="00f67213"/>
    <w:pPr/>
    <w:rPr>
      <w:b/>
      <w:bCs/>
      <w:lang w:val="x-none" w:eastAsia="x-none"/>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FB51-D139-4014-A4B0-20DA865A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LibreOffice/5.3.1.2$Windows_X86_64 LibreOffice_project/e80a0e0fd1875e1696614d24c32df0f95f03deb2</Application>
  <Pages>20</Pages>
  <Words>2396</Words>
  <Characters>14153</Characters>
  <CharactersWithSpaces>16325</CharactersWithSpaces>
  <Paragraphs>263</Paragraphs>
  <Company>The Dow Chemical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2018-04-16T07:45:00Z</dcterms:created>
  <dc:creator>Chalas R u379004</dc:creator>
  <dc:description/>
  <dc:language>sk-SK</dc:language>
  <cp:lastModifiedBy>Černajová Lucia Ing.</cp:lastModifiedBy>
  <cp:lastPrinted>2016-06-21T11:55:00Z</cp:lastPrinted>
  <dcterms:modified xsi:type="dcterms:W3CDTF">2018-06-29T07:45:00Z</dcterms:modified>
  <cp:revision>3</cp:revision>
  <dc:subject/>
  <dc:title>LONTREL* 300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Dow Chemical Company</vt:lpwstr>
  </property>
  <property fmtid="{D5CDD505-2E9C-101B-9397-08002B2CF9AE}" pid="4" name="Content_Steward">
    <vt:lpwstr>Chalas R u379004</vt:lpwstr>
  </property>
  <property fmtid="{D5CDD505-2E9C-101B-9397-08002B2CF9AE}" pid="5" name="DocSecurity">
    <vt:i4>0</vt:i4>
  </property>
  <property fmtid="{D5CDD505-2E9C-101B-9397-08002B2CF9AE}" pid="6" name="HyperlinksChanged">
    <vt:bool>0</vt:bool>
  </property>
  <property fmtid="{D5CDD505-2E9C-101B-9397-08002B2CF9AE}" pid="7" name="Information_Classification">
    <vt:lpwstr/>
  </property>
  <property fmtid="{D5CDD505-2E9C-101B-9397-08002B2CF9AE}" pid="8" name="Initial_Creation_Date">
    <vt:filetime>2008-07-29T12:22:00Z</vt:filetime>
  </property>
  <property fmtid="{D5CDD505-2E9C-101B-9397-08002B2CF9AE}" pid="9" name="Last_Reviewed_Date">
    <vt:lpwstr/>
  </property>
  <property fmtid="{D5CDD505-2E9C-101B-9397-08002B2CF9AE}" pid="10" name="LinksUpToDate">
    <vt:bool>0</vt:bool>
  </property>
  <property fmtid="{D5CDD505-2E9C-101B-9397-08002B2CF9AE}" pid="11" name="Radio_Button">
    <vt:lpwstr>RadioButton2</vt:lpwstr>
  </property>
  <property fmtid="{D5CDD505-2E9C-101B-9397-08002B2CF9AE}" pid="12" name="Record_Title_ID">
    <vt:lpwstr>72</vt:lpwstr>
  </property>
  <property fmtid="{D5CDD505-2E9C-101B-9397-08002B2CF9AE}" pid="13" name="Retention_Period_Start_Date">
    <vt:filetime>2016-08-09T14:44:59Z</vt:filetime>
  </property>
  <property fmtid="{D5CDD505-2E9C-101B-9397-08002B2CF9AE}" pid="14" name="Retention_Review_Frequency">
    <vt:lpwstr/>
  </property>
  <property fmtid="{D5CDD505-2E9C-101B-9397-08002B2CF9AE}" pid="15" name="ScaleCrop">
    <vt:bool>0</vt:bool>
  </property>
  <property fmtid="{D5CDD505-2E9C-101B-9397-08002B2CF9AE}" pid="16" name="ShareDoc">
    <vt:bool>0</vt:bool>
  </property>
  <property fmtid="{D5CDD505-2E9C-101B-9397-08002B2CF9AE}" pid="17" name="Update_Footer">
    <vt:lpwstr>No</vt:lpwstr>
  </property>
  <property fmtid="{D5CDD505-2E9C-101B-9397-08002B2CF9AE}" pid="18" name="_NewReviewCycle">
    <vt:lpwstr/>
  </property>
</Properties>
</file>