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szCs w:val="24"/>
        </w:rPr>
      </w:pPr>
      <w:r>
        <w:rPr>
          <w:szCs w:val="24"/>
        </w:rPr>
        <w:t>Prípravok na ochranu rastlín pre profesionálnych používateľov</w:t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HUSAR</w:t>
      </w:r>
      <w:r>
        <w:rPr>
          <w:rFonts w:ascii="Times New Roman" w:hAnsi="Times New Roman"/>
          <w:b/>
          <w:position w:val="6"/>
          <w:sz w:val="28"/>
          <w:szCs w:val="28"/>
        </w:rPr>
        <w:t>®</w:t>
      </w:r>
      <w:r>
        <w:rPr>
          <w:rFonts w:ascii="Times New Roman" w:hAnsi="Times New Roman"/>
          <w:b/>
          <w:position w:val="6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ACTIVE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Postrekový herbicíd vo forme suspenzného koncentrátu na báze oleja určený na ničenie jednoročných trávovitých a dvojklíčnolistových burín v pšenici ozimnej,  raži a tritikale.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20"/>
        <w:jc w:val="both"/>
        <w:rPr>
          <w:b/>
          <w:b/>
          <w:szCs w:val="24"/>
        </w:rPr>
      </w:pPr>
      <w:r>
        <w:rPr>
          <w:b/>
          <w:caps/>
          <w:szCs w:val="24"/>
        </w:rPr>
        <w:t>Účinná látka</w:t>
      </w:r>
      <w:r>
        <w:rPr>
          <w:b/>
          <w:szCs w:val="24"/>
        </w:rPr>
        <w:t>:</w:t>
      </w:r>
    </w:p>
    <w:tbl>
      <w:tblPr>
        <w:tblW w:w="9555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899"/>
        <w:gridCol w:w="1928"/>
        <w:gridCol w:w="5728"/>
      </w:tblGrid>
      <w:tr>
        <w:trPr/>
        <w:tc>
          <w:tcPr>
            <w:tcW w:w="1899" w:type="dxa"/>
            <w:tcBorders/>
            <w:shd w:fill="auto" w:val="clear"/>
          </w:tcPr>
          <w:p>
            <w:pPr>
              <w:pStyle w:val="Normal"/>
              <w:ind w:right="113" w:hanging="0"/>
              <w:rPr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Iodosulfuron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ind w:right="-57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9,31 g/l</w:t>
            </w:r>
          </w:p>
          <w:p>
            <w:pPr>
              <w:pStyle w:val="Normal"/>
              <w:ind w:right="-57" w:hanging="0"/>
              <w:jc w:val="center"/>
              <w:rPr>
                <w:szCs w:val="24"/>
              </w:rPr>
            </w:pPr>
            <w:r>
              <w:rPr>
                <w:szCs w:val="24"/>
              </w:rPr>
              <w:t>(0,9% hm)</w:t>
            </w:r>
          </w:p>
        </w:tc>
        <w:tc>
          <w:tcPr>
            <w:tcW w:w="5728" w:type="dxa"/>
            <w:tcBorders/>
            <w:shd w:fill="auto" w:val="clear"/>
          </w:tcPr>
          <w:p>
            <w:pPr>
              <w:pStyle w:val="Hlavika"/>
              <w:jc w:val="both"/>
              <w:rPr>
                <w:szCs w:val="24"/>
              </w:rPr>
            </w:pPr>
            <w:r>
              <w:rPr>
                <w:szCs w:val="24"/>
              </w:rPr>
              <w:t>t.j. vo forme Iodosulfuron-methyl-sodium v obsahu 10 g/l (0,95% hm)</w:t>
            </w:r>
          </w:p>
        </w:tc>
      </w:tr>
      <w:tr>
        <w:trPr/>
        <w:tc>
          <w:tcPr>
            <w:tcW w:w="1899" w:type="dxa"/>
            <w:tcBorders/>
            <w:shd w:fill="auto" w:val="clear"/>
          </w:tcPr>
          <w:p>
            <w:pPr>
              <w:pStyle w:val="Normal"/>
              <w:ind w:right="113" w:hanging="0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2,4-D 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ind w:right="113" w:hanging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250 g/l </w:t>
            </w:r>
          </w:p>
          <w:p>
            <w:pPr>
              <w:pStyle w:val="Normal"/>
              <w:ind w:right="113" w:hanging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(23,6 % hm)</w:t>
            </w:r>
          </w:p>
        </w:tc>
        <w:tc>
          <w:tcPr>
            <w:tcW w:w="5728" w:type="dxa"/>
            <w:tcBorders/>
            <w:shd w:fill="auto" w:val="clear"/>
          </w:tcPr>
          <w:p>
            <w:pPr>
              <w:pStyle w:val="Hlavika"/>
              <w:jc w:val="both"/>
              <w:rPr>
                <w:szCs w:val="24"/>
              </w:rPr>
            </w:pPr>
            <w:r>
              <w:rPr>
                <w:szCs w:val="24"/>
              </w:rPr>
              <w:t>t.j. vo forme 2,4-D 2-EHE v obsahu 377 g/l (35,6% hm)</w:t>
            </w:r>
          </w:p>
        </w:tc>
      </w:tr>
      <w:tr>
        <w:trPr/>
        <w:tc>
          <w:tcPr>
            <w:tcW w:w="1899" w:type="dxa"/>
            <w:tcBorders/>
            <w:shd w:fill="auto" w:val="clear"/>
          </w:tcPr>
          <w:p>
            <w:pPr>
              <w:pStyle w:val="Normal"/>
              <w:ind w:right="113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Mefenpyr (safener)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ind w:right="113" w:hanging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25,5 g/l </w:t>
            </w:r>
          </w:p>
          <w:p>
            <w:pPr>
              <w:pStyle w:val="Normal"/>
              <w:ind w:right="113" w:hanging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(2, 4 % hm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728" w:type="dxa"/>
            <w:tcBorders/>
            <w:shd w:fill="auto" w:val="clear"/>
          </w:tcPr>
          <w:p>
            <w:pPr>
              <w:pStyle w:val="Hlavika"/>
              <w:jc w:val="both"/>
              <w:rPr>
                <w:szCs w:val="24"/>
              </w:rPr>
            </w:pPr>
            <w:r>
              <w:rPr>
                <w:szCs w:val="24"/>
              </w:rPr>
              <w:t>t.j. vo forme Mefenpyr-diethyl v obsahu 30 g/l (2,84% hm)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eastAsia="cs-CZ"/>
        </w:rPr>
        <w:t>Látky nebezpečné pre zdravie, ktoré prispievajú ku klasifikácii prípravku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24"/>
        </w:rPr>
        <w:t>iodosulfuron-methyl CAS No.: 144550-36-7, 2,4-D ethylhexyl ester CAS No.: 1928-43-4 a 217-673-3, mefenpyr-diethyl CAS No.: 135590-91-9, solvent naphta (petroleum) heavy aromatic CAS No.: 64742-94-5 a 265-198-5, polyglycol ether CAS No.: 345642-79-7, solvent Naphtha (petroleum), light aromatic CAS No.:</w:t>
      </w:r>
      <w:r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</w:rPr>
        <w:t>64742-95-6 a 265-199-0, docusate sodium CAS No.: 577-11-7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caps/>
          <w:szCs w:val="24"/>
          <w:lang w:eastAsia="cs-CZ"/>
        </w:rPr>
        <w:t>Označenie prípravku</w:t>
      </w:r>
      <w:r>
        <w:rPr>
          <w:rFonts w:ascii="Times New Roman" w:hAnsi="Times New Roman"/>
          <w:b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left" w:pos="1008" w:leader="none"/>
        </w:tabs>
        <w:spacing w:before="40" w:after="40"/>
        <w:jc w:val="both"/>
        <w:rPr>
          <w:rFonts w:ascii="Times New Roman" w:hAnsi="Times New Roman"/>
          <w:b/>
          <w:b/>
          <w:color w:val="000080"/>
          <w:szCs w:val="24"/>
        </w:rPr>
      </w:pPr>
      <w:r>
        <w:rPr/>
        <w:drawing>
          <wp:inline distT="0" distB="0" distL="0" distR="0">
            <wp:extent cx="628650" cy="628650"/>
            <wp:effectExtent l="0" t="0" r="0" b="0"/>
            <wp:docPr id="1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80"/>
          <w:szCs w:val="24"/>
          <w:lang w:eastAsia="en-US"/>
        </w:rPr>
        <w:t xml:space="preserve"> </w:t>
      </w:r>
      <w:r>
        <w:rPr>
          <w:rFonts w:ascii="Garamond" w:hAnsi="Garamond"/>
          <w:color w:val="000080"/>
          <w:szCs w:val="24"/>
          <w:lang w:eastAsia="en-US"/>
        </w:rPr>
        <w:tab/>
      </w:r>
      <w:r>
        <w:rPr>
          <w:rFonts w:ascii="Garamond" w:hAnsi="Garamond"/>
          <w:color w:val="000080"/>
          <w:szCs w:val="24"/>
          <w:lang w:eastAsia="en-US"/>
        </w:rPr>
        <w:drawing>
          <wp:inline distT="0" distB="0" distL="0" distR="0">
            <wp:extent cx="609600" cy="628650"/>
            <wp:effectExtent l="0" t="0" r="0" b="0"/>
            <wp:docPr id="2" name="Obrázok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 descr="znak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80"/>
          <w:szCs w:val="24"/>
          <w:lang w:eastAsia="en-US"/>
        </w:rPr>
        <w:tab/>
      </w:r>
      <w:r>
        <w:rPr>
          <w:rFonts w:ascii="Times New Roman" w:hAnsi="Times New Roman"/>
          <w:b/>
          <w:color w:val="000080"/>
          <w:szCs w:val="24"/>
          <w:lang w:eastAsia="en-US"/>
        </w:rPr>
        <w:drawing>
          <wp:inline distT="0" distB="9525" distL="0" distR="9525">
            <wp:extent cx="638175" cy="657225"/>
            <wp:effectExtent l="0" t="0" r="0" b="0"/>
            <wp:docPr id="3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80"/>
          <w:szCs w:val="24"/>
          <w:lang w:eastAsia="en-US"/>
        </w:rPr>
        <w:tab/>
      </w:r>
      <w:r>
        <w:rPr>
          <w:rFonts w:ascii="Times New Roman" w:hAnsi="Times New Roman"/>
          <w:b/>
          <w:color w:val="000080"/>
          <w:szCs w:val="24"/>
          <w:lang w:eastAsia="en-US"/>
        </w:rPr>
        <w:drawing>
          <wp:inline distT="0" distB="0" distL="0" distR="0">
            <wp:extent cx="628650" cy="647700"/>
            <wp:effectExtent l="0" t="0" r="0" b="0"/>
            <wp:docPr id="4" name="Obrázok 1" descr="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nak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008" w:leader="none"/>
        </w:tabs>
        <w:spacing w:before="40" w:after="4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GHS05</w:t>
        <w:tab/>
        <w:tab/>
        <w:t xml:space="preserve">  GHS07 </w:t>
        <w:tab/>
        <w:t xml:space="preserve">  GHS08</w:t>
        <w:tab/>
        <w:t xml:space="preserve">  GHS09</w:t>
      </w:r>
    </w:p>
    <w:p>
      <w:pPr>
        <w:pStyle w:val="Normal"/>
        <w:tabs>
          <w:tab w:val="left" w:pos="1008" w:leader="none"/>
        </w:tabs>
        <w:spacing w:before="40" w:after="4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tabs>
          <w:tab w:val="left" w:pos="1008" w:leader="none"/>
        </w:tabs>
        <w:spacing w:before="40" w:after="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Nebezpečenstvo</w:t>
      </w:r>
    </w:p>
    <w:p>
      <w:pPr>
        <w:pStyle w:val="Normal"/>
        <w:tabs>
          <w:tab w:val="left" w:pos="1008" w:leader="none"/>
        </w:tabs>
        <w:spacing w:before="40" w:after="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H304</w:t>
        <w:tab/>
        <w:t>Môže byť smrteľný po požití a vniknutí do dýchacích ciest.</w:t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H315</w:t>
        <w:tab/>
        <w:t>Dráždi kožu.</w:t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H317</w:t>
        <w:tab/>
        <w:t>Môže vyvolať alergickú kožnú reakciu.</w:t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H318</w:t>
        <w:tab/>
        <w:t>Spôsobuje vážne poškodenie očí.</w:t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H410</w:t>
        <w:tab/>
        <w:t>Veľmi toxický pre vodné organizmy, s dlhodobými účinkami.</w:t>
      </w:r>
    </w:p>
    <w:p>
      <w:pPr>
        <w:pStyle w:val="Normal"/>
        <w:ind w:left="1560" w:hanging="1560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EUH401</w:t>
        <w:tab/>
        <w:t>Dodržiavajte návod na používanie, aby ste zabránili vzniku rizík pre zdravie ľudí a životné prostredie.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P280</w:t>
        <w:tab/>
        <w:t>Noste ochranné rukavice/ochranný odev a ochranné okuliare/ochranu tváre.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P305 + P351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+ P338</w:t>
        <w:tab/>
        <w:t>PO ZASIAHNUTÍ OČÍ: Niekoľko minút ich opatrne vyplachujte vodou. Ak používate kontaktné šošovky a ak je to možné, odstráňte ich. Pokračujte vo vyplachovaní.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P301 + P310</w:t>
        <w:tab/>
        <w:t>PO POŽITÍ: okamžite volajte NÁRODNÉ TOXIKOLOGICKÉ INFORMAČNÉ CENTRUM/lekára.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P331</w:t>
        <w:tab/>
        <w:t>Nevyvolávajte zvracanie.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P308 + P311</w:t>
        <w:tab/>
        <w:t>PO expozícii alebo podozrení z nej: Volajte TOXIKOLOGICKÉ INFORMAČNÉ CENTRUM/lekára.</w:t>
      </w:r>
    </w:p>
    <w:p>
      <w:pPr>
        <w:pStyle w:val="Normal"/>
        <w:ind w:left="1560" w:hanging="1560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color w:val="000000"/>
          <w:szCs w:val="24"/>
          <w:lang w:eastAsia="cs-CZ"/>
        </w:rPr>
        <w:t>P501</w:t>
        <w:tab/>
        <w:t>Zneškodnite obsah/nádobu v súlade s miestnymi predpismi.</w:t>
      </w:r>
    </w:p>
    <w:p>
      <w:pPr>
        <w:pStyle w:val="Normal"/>
        <w:ind w:left="1560" w:hanging="1560"/>
        <w:rPr>
          <w:rFonts w:ascii="Times New Roman" w:hAnsi="Times New Roman"/>
          <w:color w:val="000000"/>
          <w:szCs w:val="24"/>
          <w:highlight w:val="yellow"/>
          <w:lang w:eastAsia="cs-CZ"/>
        </w:rPr>
      </w:pPr>
      <w:r>
        <w:rPr>
          <w:rFonts w:ascii="Times New Roman" w:hAnsi="Times New Roman"/>
          <w:color w:val="000000"/>
          <w:szCs w:val="24"/>
          <w:highlight w:val="yellow"/>
          <w:lang w:eastAsia="cs-CZ"/>
        </w:rPr>
      </w:r>
    </w:p>
    <w:p>
      <w:pPr>
        <w:pStyle w:val="Normal"/>
        <w:ind w:left="1134" w:hanging="1134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SP1</w:t>
        <w:tab/>
        <w:t>Neznečisťujte vodu prípravkom alebo jeho obalom. (Nečistite aplikačné zariadenia v blízkosti povrchových vôd/Zabráňte kontaminácii prostredníctvom odtokových kanálov z poľnohospodárskych dvorov a vozoviek).</w:t>
      </w:r>
    </w:p>
    <w:p>
      <w:pPr>
        <w:pStyle w:val="Normal"/>
        <w:ind w:left="1134" w:hanging="1134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Z4</w:t>
        <w:tab/>
        <w:t>Riziko vyplývajúce z použitia prípravku pri dodržaní predpísanej dávky alebo koncentrácie je pre domáce, hospodárske a voľne žijúce zvieratá relatívne prijateľné.</w:t>
      </w:r>
    </w:p>
    <w:p>
      <w:pPr>
        <w:pStyle w:val="Normal"/>
        <w:ind w:left="1134" w:hanging="1134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Vt5</w:t>
        <w:tab/>
        <w:t>Riziko vyplývajúce z použitia prípravku pri dodržaní predpísanej dávky alebo koncentrácie je pre vtáky prijateľné.</w:t>
      </w:r>
    </w:p>
    <w:p>
      <w:pPr>
        <w:pStyle w:val="Normal"/>
        <w:ind w:left="1134" w:hanging="1134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Vo2</w:t>
        <w:tab/>
        <w:t>Pre ryby a ostatné vodné organizmy jedovatý.</w:t>
      </w:r>
    </w:p>
    <w:p>
      <w:pPr>
        <w:pStyle w:val="Normal"/>
        <w:ind w:left="1134" w:hanging="1134"/>
        <w:jc w:val="both"/>
        <w:rPr>
          <w:rFonts w:ascii="Times New Roman" w:hAnsi="Times New Roman"/>
          <w:b/>
          <w:b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V3</w:t>
        <w:tab/>
        <w:t>Riziko prípravku je prijateľné pre dážďovky a iné pôdne makroorganizmy.</w:t>
      </w:r>
    </w:p>
    <w:p>
      <w:pPr>
        <w:pStyle w:val="Normal"/>
        <w:ind w:left="1134" w:hanging="1134"/>
        <w:jc w:val="both"/>
        <w:rPr>
          <w:rFonts w:ascii="Times New Roman" w:hAnsi="Times New Roman"/>
          <w:color w:val="000000"/>
          <w:szCs w:val="24"/>
          <w:lang w:eastAsia="cs-CZ"/>
        </w:rPr>
      </w:pPr>
      <w:r>
        <w:rPr>
          <w:rFonts w:ascii="Times New Roman" w:hAnsi="Times New Roman"/>
          <w:b/>
          <w:color w:val="000000"/>
          <w:szCs w:val="24"/>
          <w:lang w:eastAsia="cs-CZ"/>
        </w:rPr>
        <w:t>Vč3</w:t>
        <w:tab/>
        <w:t>Prípravok pre včely s prijateľným rizikom pri dodržaní predpísanej dávky alebo koncentrácie.</w:t>
      </w:r>
    </w:p>
    <w:p>
      <w:pPr>
        <w:pStyle w:val="Normal"/>
        <w:overflowPunct w:val="true"/>
        <w:jc w:val="both"/>
        <w:textAlignment w:val="baselin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overflowPunct w:val="true"/>
        <w:jc w:val="both"/>
        <w:textAlignment w:val="baseline"/>
        <w:rPr>
          <w:b/>
          <w:b/>
          <w:szCs w:val="24"/>
        </w:rPr>
      </w:pPr>
      <w:r>
        <w:rPr>
          <w:b/>
          <w:szCs w:val="24"/>
        </w:rPr>
        <w:t>Zákaz používania prípravku v 1. ochrannom pásme zdrojov</w:t>
      </w:r>
      <w:r>
        <w:rPr/>
        <w:t xml:space="preserve"> </w:t>
      </w:r>
      <w:r>
        <w:rPr>
          <w:b/>
          <w:szCs w:val="24"/>
        </w:rPr>
        <w:t>pitných vôd!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Dbajte o to, aby sa prípravok v žiadnom prípade nedostal do tečúcich a stojatých vôd vo voľnej prírode!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Zákaz priameho vypúšťania nespotrebovaných zvyškov do podzemných vôd.</w:t>
      </w:r>
    </w:p>
    <w:p>
      <w:pPr>
        <w:pStyle w:val="Normal"/>
        <w:spacing w:before="40" w:after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Môže poškodiť zdravie po požití, nadýchaní, styku s pokožkou a sliznicami! Chráňte pred deťmi a nepoučenými osobami!</w:t>
      </w:r>
    </w:p>
    <w:p>
      <w:pPr>
        <w:pStyle w:val="Telotextu"/>
        <w:jc w:val="lef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Uložte mimo dosahu zvierat a krmív pre zvieratá!</w:t>
      </w:r>
    </w:p>
    <w:p>
      <w:pPr>
        <w:pStyle w:val="Telotextu"/>
        <w:jc w:val="lef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Pre minimalizáciu rizika poškodenia včiel, aplikujte v bezletovom čase včiel, ak sú v ošetrovanom poraste kvitnúce buriny!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PRÍPRAVOK V TOMTO VEĽKOSPOTREBITEĽSKOM BALENÍ NESMIE BYŤ PONÚKANÝ ALEBO PREDÁVANÝ ŠIROKEJ VEREJNOSTI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W w:w="9640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86"/>
        <w:gridCol w:w="5953"/>
      </w:tblGrid>
      <w:tr>
        <w:trPr/>
        <w:tc>
          <w:tcPr>
            <w:tcW w:w="96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Držiteľ autorizácie: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Bayer spol. s r.o., Karadžičova 2, 811 09 Bratislava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Číslo autorizácie ÚKSÚP</w:t>
            </w:r>
            <w:r>
              <w:rPr>
                <w:rFonts w:ascii="Times New Roman" w:hAnsi="Times New Roman"/>
                <w:b/>
                <w:szCs w:val="24"/>
                <w:lang w:eastAsia="cs-CZ"/>
              </w:rPr>
              <w:t>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14-11-1441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cs-CZ"/>
              </w:rPr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Dátum výroby</w:t>
            </w:r>
            <w:r>
              <w:rPr>
                <w:rFonts w:ascii="Times New Roman" w:hAnsi="Times New Roman"/>
                <w:b/>
                <w:szCs w:val="24"/>
                <w:lang w:eastAsia="cs-CZ"/>
              </w:rPr>
              <w:t>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  <w:lang w:eastAsia="cs-CZ"/>
              </w:rPr>
              <w:t>uvedené na obale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Číslo výrobnej šarže</w:t>
            </w:r>
            <w:r>
              <w:rPr>
                <w:rFonts w:ascii="Times New Roman" w:hAnsi="Times New Roman"/>
                <w:b/>
                <w:szCs w:val="24"/>
                <w:lang w:eastAsia="cs-CZ"/>
              </w:rPr>
              <w:t>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  <w:lang w:eastAsia="cs-CZ"/>
              </w:rPr>
              <w:t>uvedené na obale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Balenie:</w:t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tabs>
                <w:tab w:val="left" w:pos="3544" w:leader="none"/>
              </w:tabs>
              <w:ind w:left="3544" w:hanging="35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l coex (HDPE/EV) fľaša</w:t>
            </w:r>
          </w:p>
          <w:p>
            <w:pPr>
              <w:pStyle w:val="Normal"/>
              <w:tabs>
                <w:tab w:val="left" w:pos="3544" w:leader="none"/>
              </w:tabs>
              <w:ind w:left="3544" w:hanging="354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l coex (HDPE/PA) kanister</w:t>
            </w:r>
          </w:p>
        </w:tc>
      </w:tr>
      <w:tr>
        <w:trPr/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</w:r>
          </w:p>
        </w:tc>
        <w:tc>
          <w:tcPr>
            <w:tcW w:w="595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3969" w:leader="none"/>
              </w:tabs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  <w:lang w:eastAsia="cs-CZ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Husar</w:t>
      </w:r>
      <w:r>
        <w:rPr>
          <w:rFonts w:ascii="Times New Roman" w:hAnsi="Times New Roman"/>
          <w:position w:val="6"/>
          <w:szCs w:val="24"/>
        </w:rPr>
        <w:t>®</w:t>
      </w:r>
      <w:r>
        <w:rPr>
          <w:rFonts w:ascii="Times New Roman" w:hAnsi="Times New Roman"/>
          <w:szCs w:val="24"/>
        </w:rPr>
        <w:t xml:space="preserve"> je registrovaná ochranná známka spoločnosti Bayer AG.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Pôsobenie prípravku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HUSAR ACTIVE je postemergentný herbicíd určený predovšetkým na ničenie jednoročných trávovitých a dvojklíčnolistových burín. Prípravok má najmä systémový foliárny a čiastočne reziduálny pôdny účinok, účinkuje na klíčiace, vzchádzajúce a vzídené buriny, najmä metličku obyčajnú a ďalšie jednoročné trávy a dvojklíčnolistové buriny.</w:t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Iodosulfuron-methyl patrí do skupiny sulfonylmočovín. Mechanizmom jeho účinku je inhibícia enzýmu acetolaktát syntetázy. Ošetrené citlivé buriny prestávajú ihneď po aplikácii rásť, prestávajú konkurovať obilnine, objavujú sa na nich chlorózy, nekrózy a postupne počas 4-6 týždňov odumierajú. Prijímaný je najmä listami, v menšej miere koreňmi a je akropetálne translokovaný. Reziduálnu účinnosť má, v závislosti na dávke, 2-3 týždne. Teplo, vyššia vzdušná vlhkosť a vlhká pôda v období aplikácie účinok urýchľujú. Sucho a ďalšie nepriaznivé podmienky pre rast účinok spomaľujú. Pôsobenie prípravku nie je závislé na teplote, iodosulfuron účinkuje už pri teplotách od +5ºC.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2,4-D-2-ethylhexyl ester pôsobí v citlivých rastlinách ako syntetická rastová látka so systémovým účinkom. Hromadí sa predovšetkým v meristémoch listov a koreňov rastlín. Dochádza k abnormálnemu chorobnému rastu rastlín, ktorý vedie k ich odumretiu, čo je dané tým, že 2,4 D nepodlieha vnútornej regulácii v rastline. 2,4 D je výrazne selektívnejšia v trávach (obilninách) ako v dvojklíčnolistových rastlinách. Vzhľadom na to, že sa jedná v zásade o rastovú látku, je jej účinok podporovaný vyššími teplotami a všeobecne optimálnymi podmienkami pre rast rastlín.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Mefenpyr-diethyl je selektívny safener pre obilniny. Jeho účinok spočíva vo výraznom urýchlení degradácie účinnej látky v obilninách. Tento safener má špecifickú vlastnosť degradácie účinnej látky najmä pri použití v obilninách (okrem ovsa).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"Times New Roman" w:hAnsi="Times New Roman"/>
          <w:b/>
          <w:b/>
          <w:bCs/>
          <w:szCs w:val="24"/>
          <w:lang w:eastAsia="cs-CZ"/>
        </w:rPr>
      </w:pPr>
      <w:r>
        <w:rPr>
          <w:rFonts w:ascii="Times New Roman" w:hAnsi="Times New Roman"/>
          <w:b/>
          <w:bCs/>
          <w:szCs w:val="24"/>
          <w:lang w:eastAsia="cs-CZ"/>
        </w:rPr>
        <w:t>Spektrum herbicídnej účinnosti: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0,7 l.ha</w:t>
      </w:r>
      <w:r>
        <w:rPr>
          <w:rFonts w:ascii="Times New Roman" w:hAnsi="Times New Roman"/>
          <w:b/>
          <w:bCs/>
          <w:szCs w:val="24"/>
          <w:vertAlign w:val="superscript"/>
        </w:rPr>
        <w:t>-1</w:t>
      </w:r>
      <w:r>
        <w:rPr>
          <w:rFonts w:ascii="Times New Roman" w:hAnsi="Times New Roman"/>
          <w:b/>
          <w:bCs/>
          <w:szCs w:val="24"/>
        </w:rPr>
        <w:t xml:space="preserve"> - aplikačný termín T</w:t>
      </w:r>
      <w:r>
        <w:rPr>
          <w:rFonts w:ascii="Times New Roman" w:hAnsi="Times New Roman"/>
          <w:b/>
          <w:bCs/>
          <w:szCs w:val="24"/>
          <w:vertAlign w:val="subscript"/>
        </w:rPr>
        <w:t>1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metlička obyčajná, parumanček nevoňavý, kapsička pastierska, hluchavka objímavá, hluchavka purpurová, peniažtek roľný, veronika perzská, arábkovka Thalova, </w:t>
      </w:r>
      <w:bookmarkStart w:id="1" w:name="__DdeLink__2320_1243887343"/>
      <w:r>
        <w:rPr>
          <w:rFonts w:ascii="Times New Roman" w:hAnsi="Times New Roman"/>
          <w:szCs w:val="24"/>
        </w:rPr>
        <w:t>hviezdica</w:t>
      </w:r>
      <w:bookmarkEnd w:id="1"/>
      <w:r>
        <w:rPr>
          <w:rFonts w:ascii="Times New Roman" w:hAnsi="Times New Roman"/>
          <w:szCs w:val="24"/>
        </w:rPr>
        <w:t xml:space="preserve"> prostredná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Menej 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- lipkavec obyčajný, ovos hluchý, nezábudka roľná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1 l.ha</w:t>
      </w:r>
      <w:r>
        <w:rPr>
          <w:rFonts w:ascii="Times New Roman" w:hAnsi="Times New Roman"/>
          <w:b/>
          <w:bCs/>
          <w:szCs w:val="24"/>
          <w:vertAlign w:val="superscript"/>
        </w:rPr>
        <w:t>-1</w:t>
      </w:r>
      <w:r>
        <w:rPr>
          <w:rFonts w:ascii="Times New Roman" w:hAnsi="Times New Roman"/>
          <w:b/>
          <w:bCs/>
          <w:szCs w:val="24"/>
        </w:rPr>
        <w:t xml:space="preserve"> - aplikačný termín T</w:t>
      </w:r>
      <w:r>
        <w:rPr>
          <w:rFonts w:ascii="Times New Roman" w:hAnsi="Times New Roman"/>
          <w:b/>
          <w:bCs/>
          <w:szCs w:val="24"/>
          <w:vertAlign w:val="subscript"/>
        </w:rPr>
        <w:t>1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- metlička obyčajná, parumanček nevoňavý, lipkavec obyčajný, nezábudka roľná, kapsička pastierska, hluchavka objímavá, hluchavka purpurová, peniažtek roľný, veronika perzská, arábkovka Thalova, fialka roľná, fialka trojfarebná, hviezdica prostredná, mak vlčí, výmrv slnečnice a repky, mrlíky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Menej 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- veronika brečtanolistá, ovos hluchý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1 l.ha</w:t>
      </w:r>
      <w:r>
        <w:rPr>
          <w:rFonts w:ascii="Times New Roman" w:hAnsi="Times New Roman"/>
          <w:b/>
          <w:bCs/>
          <w:szCs w:val="24"/>
          <w:vertAlign w:val="superscript"/>
        </w:rPr>
        <w:t>-1</w:t>
      </w:r>
      <w:r>
        <w:rPr>
          <w:rFonts w:ascii="Times New Roman" w:hAnsi="Times New Roman"/>
          <w:b/>
          <w:bCs/>
          <w:szCs w:val="24"/>
        </w:rPr>
        <w:t xml:space="preserve"> – aplikačný termín T</w:t>
      </w:r>
      <w:r>
        <w:rPr>
          <w:rFonts w:ascii="Times New Roman" w:hAnsi="Times New Roman"/>
          <w:b/>
          <w:bCs/>
          <w:szCs w:val="24"/>
          <w:vertAlign w:val="subscript"/>
        </w:rPr>
        <w:t>2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- peniažtek roľný, kapsička pastierska, hviezdica prostredná, arábkovka Thalova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  <w:u w:val="single"/>
        </w:rPr>
        <w:t>Menej citlivé buriny</w:t>
      </w:r>
      <w:r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- metlička obyčajná, lipkavec obyčajný, parumanček nevoňavý, ovos hluchý, veronika perzská, nezábudka roľná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tomto aplikačnom termíne dochádza vzhľadom k pokročilejším rastovým fázam burín k poklesu účinnosti herbicídu.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Návod na použitie</w:t>
      </w:r>
    </w:p>
    <w:tbl>
      <w:tblPr>
        <w:tblW w:w="96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68"/>
        <w:gridCol w:w="4253"/>
        <w:gridCol w:w="1842"/>
        <w:gridCol w:w="1700"/>
      </w:tblGrid>
      <w:tr>
        <w:trPr>
          <w:tblHeader w:val="true"/>
          <w:trHeight w:val="20" w:hRule="atLeast"/>
          <w:cantSplit w:val="true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0" w:type="dxa"/>
            </w:tcMar>
          </w:tcPr>
          <w:p>
            <w:pPr>
              <w:pStyle w:val="Normal"/>
              <w:ind w:left="113" w:right="57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Plodina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0" w:type="dxa"/>
            </w:tcMar>
          </w:tcPr>
          <w:p>
            <w:pPr>
              <w:pStyle w:val="Normal"/>
              <w:ind w:left="113" w:right="57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b/>
                <w:szCs w:val="24"/>
              </w:rPr>
              <w:t>Účel použitia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0" w:type="dxa"/>
            </w:tcMar>
          </w:tcPr>
          <w:p>
            <w:pPr>
              <w:pStyle w:val="Normal"/>
              <w:ind w:left="113" w:right="57" w:hanging="0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b/>
                <w:szCs w:val="24"/>
              </w:rPr>
              <w:t>Dávka/ha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b/>
                <w:szCs w:val="24"/>
              </w:rPr>
              <w:t>Ochranná doba</w:t>
            </w:r>
          </w:p>
        </w:tc>
      </w:tr>
      <w:tr>
        <w:trPr>
          <w:trHeight w:val="20" w:hRule="atLeast"/>
          <w:cantSplit w:val="true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pšenica ozimná, raž, tritikale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metlička obyčajná, dvojklíčnolistové buriny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0,7 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</w:t>
            </w:r>
          </w:p>
        </w:tc>
      </w:tr>
      <w:tr>
        <w:trPr>
          <w:trHeight w:val="20" w:hRule="atLeast"/>
          <w:cantSplit w:val="true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pšenica ozimná, raž, tritikale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lipkavec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 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</w:t>
            </w:r>
          </w:p>
        </w:tc>
      </w:tr>
      <w:tr>
        <w:trPr>
          <w:trHeight w:val="20" w:hRule="atLeast"/>
          <w:cantSplit w:val="true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pšenica ozimná, raž, tritikale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dvojklíčnolistové buriny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 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ind w:left="113" w:right="113" w:hanging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</w:t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>Dávka vody: 200-400 l.ha</w:t>
      </w:r>
      <w:r>
        <w:rPr>
          <w:rFonts w:ascii="Times New Roman" w:hAnsi="Times New Roman"/>
          <w:szCs w:val="24"/>
          <w:vertAlign w:val="superscript"/>
        </w:rPr>
        <w:t>-1</w:t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bCs/>
          <w:szCs w:val="24"/>
          <w:u w:val="single"/>
        </w:rPr>
        <w:t>maximálny počet aplikácií: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1× za vegetačnú sezónu, na jar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POKYNY PRE APLIKÁCIU</w:t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bCs/>
          <w:szCs w:val="24"/>
        </w:rPr>
        <w:t>Rastová fáza plodín v dobe ošetrenia:</w:t>
      </w:r>
    </w:p>
    <w:p>
      <w:pPr>
        <w:pStyle w:val="Normal"/>
        <w:jc w:val="both"/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pšenica ozimná, raž, tritikale </w:t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1. aplikačný termín - T</w:t>
      </w:r>
      <w:r>
        <w:rPr>
          <w:rFonts w:ascii="Times New Roman" w:hAnsi="Times New Roman"/>
          <w:szCs w:val="24"/>
          <w:vertAlign w:val="subscript"/>
        </w:rPr>
        <w:t>1</w:t>
      </w:r>
      <w:r>
        <w:rPr>
          <w:rFonts w:ascii="Times New Roman" w:hAnsi="Times New Roman"/>
          <w:szCs w:val="24"/>
        </w:rPr>
        <w:t xml:space="preserve">: BBCH 25-29, t.j. 5. odnož až koniec odnožovania </w:t>
      </w:r>
      <w:r>
        <w:rPr>
          <w:rFonts w:ascii="Times New Roman" w:hAnsi="Times New Roman"/>
          <w:i/>
          <w:iCs/>
          <w:szCs w:val="24"/>
        </w:rPr>
        <w:t>alebo</w:t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2. aplikačný termín - T</w:t>
      </w:r>
      <w:r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: BBCH 32, t.j. 2. kolienko</w:t>
      </w:r>
    </w:p>
    <w:p>
      <w:pPr>
        <w:pStyle w:val="Normal"/>
        <w:jc w:val="both"/>
        <w:rPr>
          <w:rFonts w:ascii="Times New Roman" w:hAnsi="Times New Roman"/>
          <w:b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</w:r>
    </w:p>
    <w:p>
      <w:pPr>
        <w:pStyle w:val="Normal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caps/>
          <w:szCs w:val="24"/>
        </w:rPr>
        <w:t>Informácie o možnej fytotoxicite, odrodovej citlivosti a všetkých Ďalších priamych a nepriamych nepriaznivých účinkoch na rastliny alebo rastlinné produkty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 ošetrení ozimných obilnín prípravkom HUSAR ACTIVE môže dôjsť k dočasným prejavom fytotoxicity - spomalenie rastu a prežltnutie porastu. Tieto prejavy môžu nastať najmä v prípade, keď po aplikácii prípravku dôjde k poklesu teplôt vzduchu na alebo pod bod mrazu, preto neošetrujte porasty, pokiaľ sa očakávajú nočné mrazy alebo pokles teplôt k bodu mrazu!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OPATRENIA PROTI VZNIKU REZISTENCIE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Iodosulfuron-methyl-sodium patrí podľa HRAC klasifikácie do skupiny B = ALS inhibítory. Táto účinná látka sa používa dlhú dobu. Bola objavená rezistencia voči herbicídom z tejto skupiny.</w:t>
      </w:r>
      <w:r>
        <w:rPr/>
        <w:t xml:space="preserve"> </w:t>
      </w:r>
      <w:r>
        <w:rPr>
          <w:rFonts w:ascii="Times New Roman" w:hAnsi="Times New Roman"/>
          <w:szCs w:val="24"/>
          <w:lang w:eastAsia="cs-CZ"/>
        </w:rPr>
        <w:t>Vzniku rezistencie nie je možné zabrániť vzhľadom k spontánnemu vzniku mutácií. Preto je potrebné zamerať sa na opatrenia vedúce k minimalizovaniu možnosti vytvorenia semien u rezistentných jedincov a zabrániť ich ďalšiemu šíreniu. Ďalej je treba dodržiavať pravidlá antirezistentnej stratégie.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2,4-D patrí podľa HRAC klasifikácie do skupiny O = Syntetické auxíny (Phenoxy-carboxylic-acids).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Na zabránenie vzniku rezistencie neaplikujte tento prípravok alebo iný, ktorý obsahuje účinnú látku na báze inhibítorov ALS (sulfonylmočoviny, triazolopyrimidiny, triazoliny) na rovnakom pozemku po sebe bez prerušenia ošetrením iným herbicídom s odlišným mechanizmom účinku.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Na zabránenie vzniku rezistencie neaplikujte tento prípravok alebo iný, ktorý obsahuje len účinnú látku na báze syntetických auxínov (napr. 2-4D, MCPA, MCPP, dicamba, clopyralid, fluroxypyr, picloram, aminopyralid), na rovnakom pozemku po sebe bez prerušenia ošetrením iným herbicídom s odlišným mechanizmom účinku.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V rámci obmedzenia rizika vyselektovania rezistentných burín odporúčame: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dodržiavať zásady striedania plodín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dodržiavať zásady správnej agrotechniky, pred siatím ničiť vzídené buriny plytkou kultiváciou alebo chemicky neselektívnymi herbicídmi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pri pestovaní obilnín na rovnakých pozemkoch používať herbicídy z  rozdielnych chemických skupín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nepoužívať prípravok na pozemkoch s potvrdením na rezistenciu metličky obyčajnej k účinným látkam zo skupiny inhibítorov ALS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používať čistené certifikované osivo na zabránenie prenosu semien burín medzi  pozemkami a regiónmi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VPLYV NA ÚRODU</w:t>
      </w:r>
    </w:p>
    <w:p>
      <w:pPr>
        <w:pStyle w:val="Telotextu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Prípravok HUSAR ACTIVE  nemá negatívny vplyv na kvantitu alebo kvalitu úrody.</w:t>
      </w:r>
    </w:p>
    <w:p>
      <w:pPr>
        <w:pStyle w:val="Telotextu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eastAsia="cs-CZ"/>
        </w:rPr>
        <w:t>VPLYV NA NÁSLEDNÉ, NÁHRADNÉ A SUSEDIACE PLODINY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Následné plodiny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 zbere ošetreného porastu je možné v rámci bežného osevného postupu vysievať bez obmedzenia ozimné obilniny.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prípade výsevu repky ozimnej alebo letných medziplodín je potrebné spracovať pôdu (orbu alebo hlboké kyprenie) do hĺbky 15-20 cm. Výsev bezorebným spôsobom neodporúčame.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jar nasledujúceho roka je možné vysievať ľubovoľnú plodinu.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Pokiaľ medzi aplikáciou prípravku a výsevom spadlo menej ako 150 mm zrážok a uplynulo menej ako 120 dní, neodporúčame vysievať repku ozimnú, horčicu alebo letné medziplodiny, nakoľko pri súhrne nepriaznivých okolností môže dôjsť k ich poškodeniu. Taktiež neodporúčame po aplikácii prípravku HUSAR ACTIVE vysievať repku, horčicu a ďalšie letné medziplodiny na pozemkoch s alkalickou pôdou.</w:t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Náhradné plodiny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Pokiaľ obilninu ošetrenú prípravkom na jar bolo potrebné z dôvodu poškodenia mrazom alebo z iného dôvodu zaorať, tak môžete 15 dní po aplikácii bezorebne vysievať pšenicu jarnú. Jačmeň jarný môžeme vysievať 15 dní po aplikácii po orbe alebo kyprení do hĺbky 15-20 cm.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Susediace plodiny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Pozor na úlet aplikačnej kvapaliny pri ošetrovaní v blízkosti rastúcich dvojklíčnolistových rastlín.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Prípravok nesmie zasiahnuť susediace plodiny úletom, odparením ani  spláchnutím!</w:t>
      </w:r>
      <w:r>
        <w:rPr>
          <w:rFonts w:ascii="Times New Roman" w:hAnsi="Times New Roman"/>
          <w:szCs w:val="24"/>
          <w:lang w:eastAsia="cs-CZ"/>
        </w:rPr>
        <w:t xml:space="preserve"> Mimoriadne citlivými sú vinič a chmeľ, preto v blízkosti viníc a chmeľníc ošetrujte len za vhodných podmienok (bezvetrie, nižšie teploty). Citlivé plodiny môžu byť pri vysokých teplotách (nad +23°C) poškodené aj výparmi prípravku.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VPLYV NA UŽITOČNÉ A INÉ NECIEĽOVÉ ORGANIZMY</w:t>
      </w:r>
    </w:p>
    <w:p>
      <w:pPr>
        <w:pStyle w:val="Normal"/>
        <w:jc w:val="both"/>
        <w:rPr>
          <w:b/>
          <w:b/>
          <w:szCs w:val="24"/>
        </w:rPr>
      </w:pPr>
      <w:r>
        <w:rPr>
          <w:rFonts w:ascii="Times New Roman" w:hAnsi="Times New Roman"/>
          <w:szCs w:val="24"/>
          <w:lang w:eastAsia="cs-CZ"/>
        </w:rPr>
        <w:t>Prípravok, pri použití v súlade s etiketou, nemá negatívny vplyv na užitočné a iné necieľové organizmy.</w:t>
      </w:r>
    </w:p>
    <w:p>
      <w:pPr>
        <w:pStyle w:val="Normal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TECHNIKA POSTREKU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Aplikácia je možná bežnými postrekovačmi, ktoré zabezpečia presné a rovnomerné dávkovanie. Prípravok aplikujte pozemne postrekom schválenými postrekovačmi. Letecká aplikácia je zakázaná!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Neaplikujte, pokiaľ hrozia nočné mrazy alebo sú porasty oslabené abiotickými alebo biotickými vplyvmi, napr. vyzimovanie, zamokrenie, poškodenie škodcami alebo chorobami.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Dlhodobé sucho alebo nízke teploty v období aplikácie môžu znížiť účinnosť prípravku!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  <w:lang w:eastAsia="cs-CZ"/>
        </w:rPr>
      </w:pPr>
      <w:r>
        <w:rPr>
          <w:rFonts w:ascii="Times New Roman" w:hAnsi="Times New Roman"/>
          <w:b/>
          <w:szCs w:val="24"/>
          <w:lang w:eastAsia="cs-CZ"/>
        </w:rPr>
        <w:t>PRÍPRAVA POSTREKOVEJ KVAPALINY A ZNEŠKODNENIE OBALOV</w:t>
      </w:r>
    </w:p>
    <w:p>
      <w:pPr>
        <w:pStyle w:val="Telotextu"/>
        <w:rPr>
          <w:rFonts w:ascii="Times New Roman" w:hAnsi="Times New Roman"/>
          <w:bCs/>
          <w:szCs w:val="24"/>
          <w:lang w:eastAsia="cs-CZ"/>
        </w:rPr>
      </w:pPr>
      <w:r>
        <w:rPr>
          <w:rFonts w:ascii="Times New Roman" w:hAnsi="Times New Roman"/>
          <w:bCs/>
          <w:szCs w:val="24"/>
          <w:lang w:eastAsia="cs-CZ"/>
        </w:rPr>
        <w:t>Pred použitím obal dôkladne pretrepte alebo premiešajte!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Odmerané množstvo prípravku vlejte do nádrže postrekovača naplnenej do polovice vodou a za 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Pripravte len také množstvo postrekovej kvapaliny, ktoré spotrebujete. </w:t>
      </w:r>
      <w:r>
        <w:rPr>
          <w:rFonts w:ascii="Times New Roman" w:hAnsi="Times New Roman"/>
          <w:szCs w:val="24"/>
        </w:rPr>
        <w:t>Postrekovú kvapalinu nepripravujte do zásoby!</w:t>
      </w:r>
      <w:r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</w:rPr>
        <w:t>Počas transportu aplikačného roztoku, postreku aj počas pracovných prestávok odporúčame udržiavať miešacie zariadenie neustále v činnosti.</w:t>
      </w:r>
      <w:r>
        <w:rPr>
          <w:rFonts w:ascii="Times New Roman" w:hAnsi="Times New Roman"/>
          <w:szCs w:val="24"/>
          <w:lang w:eastAsia="cs-CZ"/>
        </w:rPr>
        <w:t xml:space="preserve"> Zákaz opätovného použitia obalu alebo jeho použitia na iné účely!</w:t>
      </w:r>
    </w:p>
    <w:p>
      <w:pPr>
        <w:pStyle w:val="Telotextu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ČISTENIE APLIKAČNÉHO ZARIADENIA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Aplikačné zariadenie musí byť vyčistené čo najskôr po ukončení aplikácie, inak hrozí nebezpečenstvo zaschnutia zvyškov aplikačnej kvapaliny a ich zložité odstraňovanie.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POSTUP PRI ČISTENÍ APLIKAČNÉHO ZARIADENIA: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Vystriekajte všetku aplikačnú kvapalinu na ošetrovanom pozemku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Rozoberte sacie a výtlačné vedenie a tryskové filtre a dobre ich prepláchnite vo vode.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Naplňte aplikačné zariadenie vodou na 10% obsahu nádrže a spusťte miešanie (odporúčame rotačnú čistiacu trysku)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Vystriekajte výplachovú kvapalinu na práve ošetrenom pozemku</w:t>
      </w:r>
    </w:p>
    <w:p>
      <w:pPr>
        <w:pStyle w:val="Telotex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Opakujte krok 3 a 4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Skontrolujte filtre, či neobsahujú viditeľné usadeniny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Vzhľadom  na charakter prípravku nie je možné v prípade nedostatočného vypláchnutia použitého aplikačného zariadenia vylúčiť poškodenie následne ošetrovaných rastlín zvyškami prípravku HUSAR ACTIVE.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Osobné ochranné pracovné prostriedky a pomocné nádoby asanujte 3%-ným roztokom uhličitanu sodného (sóda) a umyte vodou.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b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Bezpečnostné opatrenia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 použitím prípravku si dôkladne prečítajte návod na použitie! Používajte pri práci s prípravkom ochranný oblek, ochranný štít na tvár alebo ochranné okuliare, respirátor proti výparom, gumové rukavice a gumovú obuv; pri riedení postreku použite aj zásteru z pogumovaného textilu. Počas práce a po nej až do vyzlečenia ochranného odevu a dôkladného umytia celého tela teplou vodou a mydlom nie je dovolené piť, jesť ani fajčiť!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40" w:after="0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  <w:t>Pokiaľ sa prípravok dostane do ohniska požiaru, tento haste hasiacou penou, hasiacim práškom, prípadne pieskom alebo zeminou. Vodu použite len výnimočne, a to vo forme jemnej hmly v tých prípadoch, ak je zaručené, že kontaminovaná voda neprenikne do verejnej kanalizácie, nezasiahne zdroje podzemných ani recipienty povrchových vôd a poľnohospodársku pôdu. Postrekujte len za bezvetria alebo pri miernom vánku a to v smere vetra od pracujúcich.</w:t>
      </w:r>
    </w:p>
    <w:p>
      <w:pPr>
        <w:pStyle w:val="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Dôležité upozornenie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 zásahu proti požiaru použite izolačné dýchacie prístroje, nakoľko pri horení dochádza ku vzniku toxických splodín.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Prvá pomoc</w:t>
      </w:r>
    </w:p>
    <w:tbl>
      <w:tblPr>
        <w:tblW w:w="963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51"/>
        <w:gridCol w:w="7087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 nadýchaní: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dopravte postihnutého na čistý vzduch, odstráňte zamorený odev a zabezpečte pokoj a teplo.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 požití: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vyplachujte ústa vodou. Zvracanie nevyvolávajte. Vyhľadajte lekárske ošetrenie.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 zasiahnutí očí: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vyplachujte prúdom čistej vody po dobu asi 15 minút. Pokiaľ má postihnutý kontaktné šošovky, tak je potrebné ich vybrať a pokračovať vo vymývaní očí po dobu najmenej 15 min. Ak začervenanie očí pretrváva, urýchlene vyhľadajte odborné lekárske ošetrenie.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 zasiahnutí pokožky:</w:t>
            </w:r>
          </w:p>
        </w:tc>
        <w:tc>
          <w:tcPr>
            <w:tcW w:w="7087" w:type="dxa"/>
            <w:tcBorders/>
            <w:shd w:fill="auto" w:val="clear"/>
          </w:tcPr>
          <w:p>
            <w:pPr>
              <w:pStyle w:val="Normal"/>
              <w:tabs>
                <w:tab w:val="left" w:pos="3544" w:leader="none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odstráňte znečistený odev, zasiahnuté miesta umyte mydlom a teplou vodou.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 otrave alebo podozrení na otravu privolajte ihneď lekára a informujte ho o prípravku a poskytnutej prvej pomoci. V prípade potreby lekár môže liečbu konzultovať s Národným toxikologickým informačným centrom v Bratislave (tel. č.: 02/54 77 41 66).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Skladovanie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Prípravok skladujte v uzavretých originálnych obaloch v uzamknutých, suchých, hygienicky čistých, dobre vetrateľných skladoch pri teplotách od +5 do +30</w:t>
      </w:r>
      <w:r>
        <w:rPr>
          <w:rFonts w:eastAsia="Times New Roman" w:cs="Times New Roman"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C oddelene od potravín, nápojov, krmív, hnojív, dezinfekčných prostriedkov, horľavín a obalov od týchto látok. Doba použiteľnosti prípravku je, pri správnom skladovaní v pôvodných neporušených obaloch, 2 roky od dátumu jeho výroby. Chráňte pred mrazom a priamym slnečným svetlom!</w:t>
      </w:r>
    </w:p>
    <w:p>
      <w:pPr>
        <w:pStyle w:val="Normal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ZNEŠKODNENIE ZVYŠKOV</w:t>
      </w:r>
    </w:p>
    <w:p>
      <w:pPr>
        <w:pStyle w:val="Normal"/>
        <w:jc w:val="both"/>
        <w:rPr/>
      </w:pPr>
      <w:r>
        <w:rPr>
          <w:szCs w:val="24"/>
        </w:rPr>
        <w:t>Nepoužité zvyšky prípravku v pôvodnom obale zneškodnite ako nebezpečný odpad.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Schoolbook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>
        <w:rFonts w:ascii="Arial" w:hAnsi="Arial"/>
      </w:rPr>
    </w:pPr>
    <w:r>
      <w:rPr>
        <w:rFonts w:ascii="Arial" w:hAnsi="Arial"/>
      </w:rPr>
    </w:r>
  </w:p>
  <w:tbl>
    <w:tblPr>
      <w:tblW w:w="9639" w:type="dxa"/>
      <w:jc w:val="left"/>
      <w:tblInd w:w="0" w:type="dxa"/>
      <w:tblBorders>
        <w:top w:val="dotted" w:sz="2" w:space="0" w:color="00000A"/>
      </w:tblBorders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3447"/>
      <w:gridCol w:w="3448"/>
      <w:gridCol w:w="2744"/>
    </w:tblGrid>
    <w:tr>
      <w:trPr/>
      <w:tc>
        <w:tcPr>
          <w:tcW w:w="3447" w:type="dxa"/>
          <w:tcBorders>
            <w:top w:val="dotted" w:sz="2" w:space="0" w:color="00000A"/>
          </w:tcBorders>
          <w:shd w:fill="auto" w:val="clear"/>
        </w:tcPr>
        <w:p>
          <w:pPr>
            <w:pStyle w:val="Pta"/>
            <w:spacing w:before="60" w:after="0"/>
            <w:ind w:left="57" w:right="57" w:hanging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ICZ/2016/5372/vi</w:t>
          </w:r>
        </w:p>
      </w:tc>
      <w:tc>
        <w:tcPr>
          <w:tcW w:w="3448" w:type="dxa"/>
          <w:tcBorders>
            <w:top w:val="dotted" w:sz="2" w:space="0" w:color="00000A"/>
          </w:tcBorders>
          <w:shd w:fill="auto" w:val="clear"/>
        </w:tcPr>
        <w:p>
          <w:pPr>
            <w:pStyle w:val="Pta"/>
            <w:spacing w:before="60" w:after="0"/>
            <w:ind w:left="57" w:right="57" w:hanging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744" w:type="dxa"/>
          <w:tcBorders>
            <w:top w:val="dotted" w:sz="2" w:space="0" w:color="00000A"/>
          </w:tcBorders>
          <w:shd w:fill="auto" w:val="clear"/>
        </w:tcPr>
        <w:p>
          <w:pPr>
            <w:pStyle w:val="Pta"/>
            <w:spacing w:before="60" w:after="0"/>
            <w:ind w:left="57" w:right="57" w:hanging="0"/>
            <w:jc w:val="right"/>
            <w:rPr/>
          </w:pPr>
          <w:r>
            <w:rPr>
              <w:rStyle w:val="Pagenumber"/>
              <w:rFonts w:ascii="Times New Roman" w:hAnsi="Times New Roman"/>
              <w:sz w:val="22"/>
              <w:szCs w:val="2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Style w:val="Pagenumber"/>
              <w:rFonts w:ascii="Times New Roman" w:hAnsi="Times New Roman"/>
              <w:sz w:val="22"/>
              <w:szCs w:val="22"/>
            </w:rPr>
            <w:t>/</w:t>
          </w:r>
          <w:r>
            <w:rPr>
              <w:rStyle w:val="Pagenumber"/>
              <w:rFonts w:ascii="Times New Roman" w:hAnsi="Times New Roman"/>
              <w:sz w:val="22"/>
              <w:szCs w:val="2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>
    <w:pPr>
      <w:pStyle w:val="Pta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Etiketa schválená: 27.01.2017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d67"/>
    <w:pPr>
      <w:widowControl/>
      <w:bidi w:val="0"/>
      <w:spacing w:lineRule="auto" w:line="240" w:before="0" w:after="0"/>
      <w:jc w:val="left"/>
    </w:pPr>
    <w:rPr>
      <w:rFonts w:ascii="CenturySchoolbook" w:hAnsi="CenturySchoolbook" w:eastAsia="Times New Roman" w:cs="Times New Roman"/>
      <w:color w:val="auto"/>
      <w:sz w:val="24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0d4d67"/>
    <w:rPr>
      <w:rFonts w:ascii="CenturySchoolbook" w:hAnsi="CenturySchoolbook" w:eastAsia="Times New Roman" w:cs="Times New Roman"/>
      <w:sz w:val="24"/>
      <w:szCs w:val="20"/>
      <w:lang w:eastAsia="sk-SK"/>
    </w:rPr>
  </w:style>
  <w:style w:type="character" w:styleId="PtaChar" w:customStyle="1">
    <w:name w:val="Päta Char"/>
    <w:basedOn w:val="DefaultParagraphFont"/>
    <w:link w:val="Pta"/>
    <w:qFormat/>
    <w:rsid w:val="000d4d67"/>
    <w:rPr>
      <w:rFonts w:ascii="CenturySchoolbook" w:hAnsi="CenturySchoolbook" w:eastAsia="Times New Roman" w:cs="Times New Roman"/>
      <w:sz w:val="24"/>
      <w:szCs w:val="20"/>
      <w:lang w:eastAsia="sk-SK"/>
    </w:rPr>
  </w:style>
  <w:style w:type="character" w:styleId="Pagenumber">
    <w:name w:val="page number"/>
    <w:basedOn w:val="DefaultParagraphFont"/>
    <w:qFormat/>
    <w:rsid w:val="000d4d67"/>
    <w:rPr/>
  </w:style>
  <w:style w:type="character" w:styleId="ZkladntextChar" w:customStyle="1">
    <w:name w:val="Základný text Char"/>
    <w:basedOn w:val="DefaultParagraphFont"/>
    <w:link w:val="Zkladntext"/>
    <w:qFormat/>
    <w:rsid w:val="000d4d67"/>
    <w:rPr>
      <w:rFonts w:ascii="Arial" w:hAnsi="Arial" w:eastAsia="Times New Roman" w:cs="Times New Roman"/>
      <w:sz w:val="24"/>
      <w:szCs w:val="20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d4d67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4d67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0d4d67"/>
    <w:rPr>
      <w:rFonts w:ascii="CenturySchoolbook" w:hAnsi="CenturySchoolbook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0d4d67"/>
    <w:rPr>
      <w:rFonts w:ascii="CenturySchoolbook" w:hAnsi="CenturySchoolbook" w:eastAsia="Times New Roman" w:cs="Times New Roman"/>
      <w:b/>
      <w:bCs/>
      <w:sz w:val="20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0d4d67"/>
    <w:pPr>
      <w:jc w:val="both"/>
    </w:pPr>
    <w:rPr>
      <w:rFonts w:ascii="Arial" w:hAnsi="Arial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rsid w:val="000d4d67"/>
    <w:pPr>
      <w:tabs>
        <w:tab w:val="center" w:pos="4819" w:leader="none"/>
        <w:tab w:val="right" w:pos="9071" w:leader="none"/>
      </w:tabs>
    </w:pPr>
    <w:rPr/>
  </w:style>
  <w:style w:type="paragraph" w:styleId="Pta">
    <w:name w:val="Footer"/>
    <w:basedOn w:val="Normal"/>
    <w:link w:val="PtaChar"/>
    <w:rsid w:val="000d4d67"/>
    <w:pPr>
      <w:tabs>
        <w:tab w:val="center" w:pos="4536" w:leader="none"/>
        <w:tab w:val="right" w:pos="9072" w:leader="none"/>
      </w:tabs>
    </w:pPr>
    <w:rPr/>
  </w:style>
  <w:style w:type="paragraph" w:styleId="Text" w:customStyle="1">
    <w:name w:val="Text"/>
    <w:basedOn w:val="Normal"/>
    <w:qFormat/>
    <w:rsid w:val="000d4d67"/>
    <w:pPr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d4d67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0d4d67"/>
    <w:pPr/>
    <w:rPr>
      <w:sz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0d4d67"/>
    <w:pPr/>
    <w:rPr>
      <w:b/>
      <w:bCs/>
    </w:rPr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LibreOffice/5.3.1.2$Windows_X86_64 LibreOffice_project/e80a0e0fd1875e1696614d24c32df0f95f03deb2</Application>
  <Pages>9</Pages>
  <Words>2217</Words>
  <Characters>14072</Characters>
  <CharactersWithSpaces>16143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2017-01-27T13:23:00Z</dcterms:created>
  <dc:creator>Vihonská Zuzana</dc:creator>
  <dc:description/>
  <dc:language>sk-SK</dc:language>
  <cp:lastModifiedBy>Vihonská Zuzana</cp:lastModifiedBy>
  <cp:lastPrinted>2017-01-27T10:34:00Z</cp:lastPrinted>
  <dcterms:modified xsi:type="dcterms:W3CDTF">2017-02-10T15:16:00Z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