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ascii="Times New Roman" w:hAnsi="Times New Roman" w:eastAsia="Times New Roman"/>
          <w:spacing w:val="-5"/>
          <w:sz w:val="24"/>
          <w:szCs w:val="24"/>
          <w:lang w:eastAsia="cs-CZ"/>
        </w:rPr>
      </w:pPr>
      <w:r>
        <w:rPr>
          <w:rFonts w:eastAsia="Times New Roman" w:ascii="Times New Roman" w:hAnsi="Times New Roman"/>
          <w:spacing w:val="-5"/>
          <w:sz w:val="24"/>
          <w:szCs w:val="24"/>
          <w:lang w:eastAsia="cs-CZ"/>
        </w:rPr>
        <w:t>Prípravok na ochranu rastlín pre profesionálnych používateľov</w:t>
      </w:r>
    </w:p>
    <w:p>
      <w:pPr>
        <w:pStyle w:val="Normal"/>
        <w:spacing w:lineRule="auto" w:line="240" w:before="0" w:after="120"/>
        <w:jc w:val="center"/>
        <w:rPr/>
      </w:pPr>
      <w:r>
        <w:rPr>
          <w:rFonts w:eastAsia="Times New Roman" w:ascii="Times New Roman" w:hAnsi="Times New Roman"/>
          <w:b/>
          <w:spacing w:val="-5"/>
          <w:sz w:val="40"/>
          <w:szCs w:val="40"/>
          <w:lang w:eastAsia="cs-CZ"/>
        </w:rPr>
        <w:t xml:space="preserve">ARCADE 880 EC </w:t>
      </w:r>
      <w:r>
        <w:fldChar w:fldCharType="begin"/>
      </w:r>
      <w:r>
        <w:instrText>SYMBOL 210 \f "Symbol"</w:instrText>
      </w:r>
      <w:r>
        <w:fldChar w:fldCharType="separate"/>
      </w:r>
      <w:bookmarkStart w:id="0" w:name="__Fieldmark__8540_2392320463"/>
      <w:r>
        <w:rPr>
          <w:rFonts w:eastAsia="Times New Roman" w:ascii="Times New Roman" w:hAnsi="Times New Roman"/>
          <w:b/>
          <w:spacing w:val="-5"/>
          <w:sz w:val="40"/>
          <w:szCs w:val="40"/>
          <w:lang w:eastAsia="cs-CZ"/>
        </w:rPr>
      </w:r>
      <w:bookmarkEnd w:id="0"/>
      <w:r>
        <w:rPr>
          <w:rFonts w:eastAsia="Times New Roman" w:ascii="Times New Roman" w:hAnsi="Times New Roman"/>
          <w:b/>
          <w:spacing w:val="-5"/>
          <w:sz w:val="40"/>
          <w:szCs w:val="40"/>
          <w:lang w:eastAsia="cs-CZ"/>
        </w:rPr>
      </w:r>
      <w:r>
        <w:fldChar w:fldCharType="end"/>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Prípravok ARCADE 880 EC je herbicíd vo forme emulzného koncentrátu určený na preemergentné a skoro postemergentné ničenie jednoročných dvojklíčnolistových burín a ježatky v zemiakoch.</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120"/>
        <w:rPr>
          <w:rFonts w:ascii="Times New Roman" w:hAnsi="Times New Roman"/>
          <w:b/>
          <w:b/>
          <w:sz w:val="24"/>
        </w:rPr>
      </w:pPr>
      <w:r>
        <w:rPr>
          <w:rFonts w:eastAsia="Times New Roman" w:ascii="Times New Roman" w:hAnsi="Times New Roman"/>
          <w:b/>
          <w:sz w:val="24"/>
          <w:szCs w:val="24"/>
          <w:u w:val="single"/>
          <w:lang w:eastAsia="cs-CZ"/>
        </w:rPr>
        <w:t>ÚČINNÁ LÁTKA</w:t>
      </w:r>
      <w:r>
        <w:rPr>
          <w:rFonts w:ascii="Times New Roman" w:hAnsi="Times New Roman"/>
          <w:b/>
          <w:sz w:val="24"/>
        </w:rPr>
        <w:t xml:space="preserve">: </w:t>
      </w:r>
    </w:p>
    <w:tbl>
      <w:tblPr>
        <w:tblW w:w="9457" w:type="dxa"/>
        <w:jc w:val="left"/>
        <w:tblInd w:w="0" w:type="dxa"/>
        <w:tblBorders/>
        <w:tblCellMar>
          <w:top w:w="0" w:type="dxa"/>
          <w:left w:w="0" w:type="dxa"/>
          <w:bottom w:w="0" w:type="dxa"/>
          <w:right w:w="0" w:type="dxa"/>
        </w:tblCellMar>
        <w:tblLook w:firstRow="1" w:noVBand="1" w:lastRow="0" w:firstColumn="1" w:lastColumn="0" w:noHBand="0" w:val="04a0"/>
      </w:tblPr>
      <w:tblGrid>
        <w:gridCol w:w="1701"/>
        <w:gridCol w:w="1985"/>
        <w:gridCol w:w="5771"/>
      </w:tblGrid>
      <w:tr>
        <w:trPr/>
        <w:tc>
          <w:tcPr>
            <w:tcW w:w="1701" w:type="dxa"/>
            <w:tcBorders/>
            <w:shd w:fill="auto" w:val="clear"/>
          </w:tcPr>
          <w:p>
            <w:pPr>
              <w:pStyle w:val="Normal"/>
              <w:spacing w:lineRule="auto" w:line="240" w:before="0" w:after="0"/>
              <w:jc w:val="both"/>
              <w:rPr>
                <w:rFonts w:ascii="Times New Roman" w:hAnsi="Times New Roman" w:eastAsia="Times New Roman"/>
                <w:sz w:val="24"/>
                <w:szCs w:val="24"/>
              </w:rPr>
            </w:pPr>
            <w:r>
              <w:rPr>
                <w:rFonts w:ascii="Times New Roman" w:hAnsi="Times New Roman"/>
                <w:b/>
                <w:sz w:val="24"/>
                <w:szCs w:val="24"/>
              </w:rPr>
              <w:t xml:space="preserve">Prosulfocarb </w:t>
            </w:r>
          </w:p>
        </w:tc>
        <w:tc>
          <w:tcPr>
            <w:tcW w:w="1985" w:type="dxa"/>
            <w:tcBorders/>
            <w:shd w:fill="auto" w:val="clear"/>
          </w:tcPr>
          <w:p>
            <w:pPr>
              <w:pStyle w:val="Normal"/>
              <w:spacing w:lineRule="auto" w:line="240" w:before="0" w:after="0"/>
              <w:ind w:right="113" w:hanging="0"/>
              <w:rPr>
                <w:rFonts w:ascii="Times New Roman" w:hAnsi="Times New Roman"/>
                <w:b/>
                <w:b/>
                <w:bCs/>
                <w:sz w:val="24"/>
                <w:szCs w:val="24"/>
              </w:rPr>
            </w:pPr>
            <w:r>
              <w:rPr>
                <w:rFonts w:ascii="Times New Roman" w:hAnsi="Times New Roman"/>
                <w:b/>
                <w:bCs/>
                <w:sz w:val="24"/>
                <w:szCs w:val="24"/>
              </w:rPr>
              <w:t xml:space="preserve">800 g/l </w:t>
            </w:r>
          </w:p>
          <w:p>
            <w:pPr>
              <w:pStyle w:val="Normal"/>
              <w:spacing w:lineRule="auto" w:line="240" w:before="0" w:after="0"/>
              <w:ind w:right="113" w:hanging="0"/>
              <w:rPr>
                <w:rFonts w:ascii="Times New Roman" w:hAnsi="Times New Roman" w:eastAsia="Times New Roman"/>
                <w:b/>
                <w:b/>
                <w:sz w:val="24"/>
                <w:szCs w:val="24"/>
              </w:rPr>
            </w:pPr>
            <w:r>
              <w:rPr>
                <w:rFonts w:ascii="Times New Roman" w:hAnsi="Times New Roman"/>
                <w:b/>
                <w:bCs/>
                <w:sz w:val="24"/>
                <w:szCs w:val="24"/>
              </w:rPr>
              <w:t>(76,8 % w/w)</w:t>
            </w:r>
          </w:p>
        </w:tc>
        <w:tc>
          <w:tcPr>
            <w:tcW w:w="5771"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1701" w:type="dxa"/>
            <w:tcBorders/>
            <w:shd w:fill="auto" w:val="clear"/>
          </w:tcPr>
          <w:p>
            <w:pPr>
              <w:pStyle w:val="Normal"/>
              <w:spacing w:lineRule="auto" w:line="240" w:before="0" w:after="0"/>
              <w:jc w:val="both"/>
              <w:rPr>
                <w:rFonts w:ascii="Times New Roman" w:hAnsi="Times New Roman" w:eastAsia="Times New Roman"/>
                <w:b/>
                <w:b/>
                <w:sz w:val="24"/>
                <w:szCs w:val="24"/>
              </w:rPr>
            </w:pPr>
            <w:r>
              <w:rPr>
                <w:rFonts w:ascii="Times New Roman" w:hAnsi="Times New Roman"/>
                <w:b/>
                <w:bCs/>
                <w:sz w:val="24"/>
                <w:szCs w:val="24"/>
              </w:rPr>
              <w:t xml:space="preserve">Metribuzin </w:t>
            </w:r>
          </w:p>
        </w:tc>
        <w:tc>
          <w:tcPr>
            <w:tcW w:w="1985" w:type="dxa"/>
            <w:tcBorders/>
            <w:shd w:fill="auto" w:val="clear"/>
          </w:tcPr>
          <w:p>
            <w:pPr>
              <w:pStyle w:val="Normal"/>
              <w:spacing w:lineRule="auto" w:line="240" w:before="0" w:after="0"/>
              <w:ind w:right="113" w:hanging="0"/>
              <w:rPr>
                <w:rFonts w:ascii="Times New Roman" w:hAnsi="Times New Roman"/>
                <w:b/>
                <w:b/>
                <w:bCs/>
                <w:sz w:val="24"/>
                <w:szCs w:val="24"/>
              </w:rPr>
            </w:pPr>
            <w:r>
              <w:rPr>
                <w:rFonts w:ascii="Times New Roman" w:hAnsi="Times New Roman"/>
                <w:b/>
                <w:bCs/>
                <w:sz w:val="24"/>
                <w:szCs w:val="24"/>
              </w:rPr>
              <w:t xml:space="preserve">80 g/l  </w:t>
            </w:r>
          </w:p>
          <w:p>
            <w:pPr>
              <w:pStyle w:val="Normal"/>
              <w:spacing w:lineRule="auto" w:line="240" w:before="0" w:after="0"/>
              <w:ind w:right="113" w:hanging="0"/>
              <w:rPr>
                <w:rFonts w:ascii="Times New Roman" w:hAnsi="Times New Roman" w:eastAsia="Times New Roman"/>
                <w:b/>
                <w:b/>
                <w:sz w:val="24"/>
                <w:szCs w:val="24"/>
              </w:rPr>
            </w:pPr>
            <w:r>
              <w:rPr>
                <w:rFonts w:ascii="Times New Roman" w:hAnsi="Times New Roman"/>
                <w:b/>
                <w:bCs/>
                <w:sz w:val="24"/>
                <w:szCs w:val="24"/>
              </w:rPr>
              <w:t>(7,68 % w/w)</w:t>
            </w:r>
          </w:p>
        </w:tc>
        <w:tc>
          <w:tcPr>
            <w:tcW w:w="5771" w:type="dxa"/>
            <w:tcBorders/>
            <w:shd w:fill="auto" w:val="clear"/>
          </w:tcPr>
          <w:p>
            <w:pPr>
              <w:pStyle w:val="Normal"/>
              <w:spacing w:lineRule="auto" w:line="240" w:before="0" w:after="0"/>
              <w:rPr>
                <w:rFonts w:ascii="Times New Roman" w:hAnsi="Times New Roman"/>
                <w:sz w:val="24"/>
                <w:szCs w:val="24"/>
              </w:rPr>
            </w:pPr>
            <w:bookmarkStart w:id="1" w:name="_GoBack"/>
            <w:bookmarkStart w:id="2" w:name="_GoBack"/>
            <w:bookmarkEnd w:id="2"/>
            <w:r>
              <w:rPr>
                <w:rFonts w:ascii="Times New Roman" w:hAnsi="Times New Roman"/>
                <w:sz w:val="24"/>
                <w:szCs w:val="24"/>
              </w:rPr>
            </w:r>
          </w:p>
        </w:tc>
      </w:tr>
    </w:tbl>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sz w:val="24"/>
        </w:rPr>
      </w:pPr>
      <w:bookmarkStart w:id="3" w:name="OLE_LINK2"/>
      <w:bookmarkStart w:id="4" w:name="OLE_LINK1"/>
      <w:r>
        <w:rPr>
          <w:rFonts w:ascii="Times New Roman" w:hAnsi="Times New Roman"/>
          <w:b/>
          <w:sz w:val="24"/>
        </w:rPr>
        <w:t xml:space="preserve">Látky nebezpečné pre zdravie, ktoré prispievajú ku klasifikácii prípravku:: </w:t>
      </w:r>
      <w:bookmarkEnd w:id="3"/>
      <w:bookmarkEnd w:id="4"/>
      <w:r>
        <w:rPr>
          <w:rFonts w:ascii="Times New Roman" w:hAnsi="Times New Roman"/>
          <w:sz w:val="24"/>
        </w:rPr>
        <w:t>žiadne</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OZNAČENIE PRÍPRAVKU:</w:t>
      </w:r>
    </w:p>
    <w:p>
      <w:pPr>
        <w:pStyle w:val="Normal"/>
        <w:widowControl w:val="false"/>
        <w:spacing w:lineRule="auto" w:line="240" w:before="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r>
    </w:p>
    <w:tbl>
      <w:tblPr>
        <w:tblW w:w="1352" w:type="dxa"/>
        <w:jc w:val="left"/>
        <w:tblInd w:w="0" w:type="dxa"/>
        <w:tblBorders/>
        <w:tblCellMar>
          <w:top w:w="0" w:type="dxa"/>
          <w:left w:w="108" w:type="dxa"/>
          <w:bottom w:w="0" w:type="dxa"/>
          <w:right w:w="108" w:type="dxa"/>
        </w:tblCellMar>
        <w:tblLook w:firstRow="1" w:noVBand="1" w:lastRow="0" w:firstColumn="1" w:lastColumn="0" w:noHBand="0" w:val="04a0"/>
      </w:tblPr>
      <w:tblGrid>
        <w:gridCol w:w="1352"/>
      </w:tblGrid>
      <w:tr>
        <w:trPr/>
        <w:tc>
          <w:tcPr>
            <w:tcW w:w="1352" w:type="dxa"/>
            <w:tcBorders/>
            <w:shd w:color="auto" w:fill="auto" w:val="clear"/>
          </w:tcPr>
          <w:p>
            <w:pPr>
              <w:pStyle w:val="Normal"/>
              <w:spacing w:lineRule="auto" w:line="240" w:before="0" w:after="200"/>
              <w:jc w:val="center"/>
              <w:rPr>
                <w:rFonts w:ascii="Times New Roman" w:hAnsi="Times New Roman"/>
              </w:rPr>
            </w:pPr>
            <w:r>
              <w:rPr/>
              <w:drawing>
                <wp:inline distT="0" distB="0" distL="0" distR="0">
                  <wp:extent cx="723900" cy="723900"/>
                  <wp:effectExtent l="0" t="0" r="0" b="0"/>
                  <wp:docPr id="1" name="Obrázok 2"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Aquatic-pollut-red"/>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tc>
      </w:tr>
      <w:tr>
        <w:trPr/>
        <w:tc>
          <w:tcPr>
            <w:tcW w:w="1352" w:type="dxa"/>
            <w:tcBorders/>
            <w:shd w:color="auto" w:fill="auto" w:val="clear"/>
          </w:tcPr>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GHS09</w:t>
            </w:r>
          </w:p>
        </w:tc>
      </w:tr>
    </w:tbl>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Nebezpečenstvo</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1526"/>
        <w:gridCol w:w="8220"/>
      </w:tblGrid>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H410</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Veľmi toxický pre vodné organizmy, s dlhodobými účinkami.</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EUH 401</w:t>
            </w:r>
          </w:p>
        </w:tc>
        <w:tc>
          <w:tcPr>
            <w:tcW w:w="8220" w:type="dxa"/>
            <w:tcBorders/>
            <w:shd w:color="auto" w:fill="auto" w:val="clear"/>
          </w:tcPr>
          <w:p>
            <w:pPr>
              <w:pStyle w:val="Normal"/>
              <w:spacing w:lineRule="auto" w:line="240" w:before="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Dodržiavajte návod na používanie, aby ste zabránili vzniku rizík pre zdravie ľudí a životné prostredie.</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EUH 066</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rPr>
            </w:pPr>
            <w:r>
              <w:rPr>
                <w:rFonts w:eastAsia="Times New Roman" w:ascii="Times New Roman" w:hAnsi="Times New Roman"/>
                <w:b/>
                <w:sz w:val="24"/>
                <w:szCs w:val="24"/>
              </w:rPr>
              <w:t>Prípravok obsahuje prosulfokarb. Môže spôsobiť alergickú reakciu.</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EUH 208</w:t>
            </w:r>
          </w:p>
        </w:tc>
        <w:tc>
          <w:tcPr>
            <w:tcW w:w="8220" w:type="dxa"/>
            <w:tcBorders/>
            <w:shd w:color="auto" w:fill="auto" w:val="clear"/>
          </w:tcPr>
          <w:p>
            <w:pPr>
              <w:pStyle w:val="Normal"/>
              <w:spacing w:lineRule="auto" w:line="240" w:before="0" w:after="0"/>
              <w:ind w:left="34" w:hanging="34"/>
              <w:jc w:val="both"/>
              <w:rPr>
                <w:rFonts w:ascii="Times New Roman" w:hAnsi="Times New Roman" w:eastAsia="Times New Roman"/>
                <w:b/>
                <w:b/>
                <w:sz w:val="24"/>
                <w:szCs w:val="24"/>
              </w:rPr>
            </w:pPr>
            <w:r>
              <w:rPr>
                <w:rFonts w:eastAsia="Times New Roman" w:ascii="Times New Roman" w:hAnsi="Times New Roman"/>
                <w:b/>
                <w:sz w:val="24"/>
                <w:szCs w:val="24"/>
              </w:rPr>
              <w:t>Prípravok obsahujem POE-alkohol, C12-18 (nesaturovaný), mono-butyl (CAS 146340-16-1). Môže spôsobiť alergickú reakciu.</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rPr>
            </w:pPr>
            <w:r>
              <w:rPr>
                <w:rFonts w:eastAsia="Times New Roman" w:ascii="Times New Roman" w:hAnsi="Times New Roman"/>
                <w:sz w:val="24"/>
                <w:szCs w:val="24"/>
              </w:rPr>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P273</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Zabráňte uvoľneniu do životného prostredia.</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P391</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Zozbierajte uniknutý produkt.</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P501</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Zneškodnite obsah/nádobu v súlade s národnými legislatívnymi predpismi.</w:t>
            </w:r>
          </w:p>
        </w:tc>
      </w:tr>
      <w:tr>
        <w:trPr/>
        <w:tc>
          <w:tcPr>
            <w:tcW w:w="1526"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P281</w:t>
            </w:r>
          </w:p>
        </w:tc>
        <w:tc>
          <w:tcPr>
            <w:tcW w:w="8220" w:type="dxa"/>
            <w:tcBorders/>
            <w:shd w:color="auto" w:fill="auto" w:val="clear"/>
          </w:tcPr>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Používajte predpísané osobné ochranné prostriedky.</w:t>
            </w:r>
          </w:p>
        </w:tc>
      </w:tr>
    </w:tbl>
    <w:p>
      <w:pPr>
        <w:pStyle w:val="Normal"/>
        <w:spacing w:lineRule="auto" w:line="240" w:before="0" w:after="0"/>
        <w:ind w:left="1560" w:hanging="1560"/>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ind w:left="1560" w:hanging="156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 xml:space="preserve">SP1 </w:t>
        <w:tab/>
        <w:t>Neznečisťujte vodu prípravkom alebo jeho obalom (Nečistite aplikačne zariadenie v blízkosti povrchových vod/Zabráňte kontaminácii prostredníctvom odtokových kanálov z poľnohospodárskych dvorov a vozoviek).</w:t>
      </w:r>
    </w:p>
    <w:p>
      <w:pPr>
        <w:pStyle w:val="Normal"/>
        <w:spacing w:lineRule="auto" w:line="240" w:before="0" w:after="0"/>
        <w:ind w:left="1560" w:hanging="1560"/>
        <w:jc w:val="both"/>
        <w:rPr>
          <w:rFonts w:ascii="Times New Roman" w:hAnsi="Times New Roman" w:eastAsia="Times New Roman"/>
          <w:sz w:val="24"/>
          <w:szCs w:val="24"/>
        </w:rPr>
      </w:pPr>
      <w:r>
        <w:rPr>
          <w:rFonts w:eastAsia="Times New Roman" w:ascii="Times New Roman" w:hAnsi="Times New Roman"/>
          <w:sz w:val="24"/>
          <w:szCs w:val="24"/>
        </w:rPr>
        <w:t>SPe 3</w:t>
      </w:r>
      <w:r>
        <w:rPr>
          <w:rFonts w:eastAsia="Times New Roman" w:ascii="Times New Roman" w:hAnsi="Times New Roman"/>
          <w:b/>
          <w:sz w:val="24"/>
          <w:szCs w:val="24"/>
        </w:rPr>
        <w:tab/>
      </w:r>
      <w:r>
        <w:rPr>
          <w:rFonts w:eastAsia="Times New Roman" w:ascii="Times New Roman" w:hAnsi="Times New Roman"/>
          <w:sz w:val="24"/>
          <w:szCs w:val="24"/>
        </w:rPr>
        <w:t xml:space="preserve">Z dôvodu ochrany vodných organizmov udržiavajte medzi ošetrovanou plochou a povrchovými vodnými plochami ochranný pás zeme v dĺžke 10 m, resp. 4 m pri 50 %, 75 % a 90 % redukcii úletu. </w:t>
      </w:r>
    </w:p>
    <w:p>
      <w:pPr>
        <w:pStyle w:val="Normal"/>
        <w:spacing w:lineRule="auto" w:line="240" w:before="0" w:after="0"/>
        <w:ind w:left="1560" w:hanging="1560"/>
        <w:jc w:val="both"/>
        <w:rPr>
          <w:rFonts w:ascii="Times New Roman" w:hAnsi="Times New Roman" w:eastAsia="Times New Roman"/>
          <w:sz w:val="24"/>
          <w:szCs w:val="24"/>
        </w:rPr>
      </w:pPr>
      <w:r>
        <w:rPr>
          <w:rFonts w:eastAsia="Times New Roman" w:ascii="Times New Roman" w:hAnsi="Times New Roman"/>
          <w:sz w:val="24"/>
          <w:szCs w:val="24"/>
        </w:rPr>
        <w:t xml:space="preserve">SPe 4 </w:t>
        <w:tab/>
        <w:t>Z dôvodu ochrany vodných organizmov neaplikujte na nepriepustné povrchy, ako je asfalt, betón, dlažobné kocky, koľajnice a iné povrchy, pri ktorých je zvýšené riziko stekania vody.</w:t>
      </w:r>
    </w:p>
    <w:p>
      <w:pPr>
        <w:pStyle w:val="Normal"/>
        <w:spacing w:lineRule="auto" w:line="240" w:before="0" w:after="0"/>
        <w:ind w:left="1560" w:hanging="1560"/>
        <w:jc w:val="both"/>
        <w:rPr>
          <w:rFonts w:ascii="Times New Roman" w:hAnsi="Times New Roman" w:eastAsia="Times New Roman"/>
          <w:sz w:val="24"/>
          <w:szCs w:val="24"/>
        </w:rPr>
      </w:pPr>
      <w:r>
        <w:rPr>
          <w:rFonts w:eastAsia="Times New Roman" w:ascii="Times New Roman" w:hAnsi="Times New Roman"/>
          <w:sz w:val="24"/>
          <w:szCs w:val="24"/>
        </w:rPr>
      </w:r>
    </w:p>
    <w:tbl>
      <w:tblPr>
        <w:tblW w:w="8970" w:type="dxa"/>
        <w:jc w:val="left"/>
        <w:tblInd w:w="0" w:type="dxa"/>
        <w:tblBorders/>
        <w:tblCellMar>
          <w:top w:w="0" w:type="dxa"/>
          <w:left w:w="108" w:type="dxa"/>
          <w:bottom w:w="0" w:type="dxa"/>
          <w:right w:w="108" w:type="dxa"/>
        </w:tblCellMar>
        <w:tblLook w:firstRow="1" w:noVBand="1" w:lastRow="0" w:firstColumn="1" w:lastColumn="0" w:noHBand="0" w:val="04a0"/>
      </w:tblPr>
      <w:tblGrid>
        <w:gridCol w:w="675"/>
        <w:gridCol w:w="8294"/>
      </w:tblGrid>
      <w:tr>
        <w:trPr/>
        <w:tc>
          <w:tcPr>
            <w:tcW w:w="675" w:type="dxa"/>
            <w:tcBorders/>
            <w:shd w:color="auto" w:fill="auto" w:val="clear"/>
          </w:tcPr>
          <w:p>
            <w:pPr>
              <w:pStyle w:val="Normal"/>
              <w:spacing w:lineRule="auto" w:line="240" w:before="0" w:after="0"/>
              <w:ind w:left="1560" w:hanging="1560"/>
              <w:rPr>
                <w:rFonts w:ascii="Times New Roman" w:hAnsi="Times New Roman" w:eastAsia="Times New Roman"/>
                <w:sz w:val="24"/>
                <w:szCs w:val="24"/>
                <w:lang w:eastAsia="cs-CZ"/>
              </w:rPr>
            </w:pPr>
            <w:r>
              <w:rPr>
                <w:rFonts w:eastAsia="Times New Roman" w:ascii="Times New Roman" w:hAnsi="Times New Roman"/>
                <w:sz w:val="24"/>
                <w:szCs w:val="24"/>
                <w:lang w:eastAsia="cs-CZ"/>
              </w:rPr>
              <w:t>Z4</w:t>
            </w:r>
          </w:p>
        </w:tc>
        <w:tc>
          <w:tcPr>
            <w:tcW w:w="8294" w:type="dxa"/>
            <w:tcBorders/>
            <w:shd w:color="auto" w:fill="auto" w:val="clear"/>
          </w:tcPr>
          <w:p>
            <w:pPr>
              <w:pStyle w:val="Normal"/>
              <w:spacing w:lineRule="auto" w:line="240" w:before="0" w:after="0"/>
              <w:ind w:left="885" w:hanging="0"/>
              <w:rPr>
                <w:rFonts w:ascii="Times New Roman" w:hAnsi="Times New Roman" w:eastAsia="Times New Roman"/>
                <w:sz w:val="24"/>
                <w:szCs w:val="24"/>
                <w:lang w:eastAsia="cs-CZ"/>
              </w:rPr>
            </w:pPr>
            <w:r>
              <w:rPr>
                <w:rFonts w:eastAsia="Times New Roman" w:ascii="Times New Roman" w:hAnsi="Times New Roman"/>
                <w:sz w:val="24"/>
                <w:szCs w:val="24"/>
                <w:lang w:eastAsia="cs-CZ"/>
              </w:rPr>
              <w:t>Riziko vyplývajúce z použitia prípravku pri dodržaní predpísanej dávky alebo koncentrácie je pre domáce, hospodárske a voľne žijúce zvieratá relatívne prijateľné.</w:t>
            </w:r>
          </w:p>
        </w:tc>
      </w:tr>
      <w:tr>
        <w:trPr/>
        <w:tc>
          <w:tcPr>
            <w:tcW w:w="675" w:type="dxa"/>
            <w:tcBorders/>
            <w:shd w:color="auto" w:fill="auto" w:val="clear"/>
          </w:tcPr>
          <w:p>
            <w:pPr>
              <w:pStyle w:val="Normal"/>
              <w:spacing w:lineRule="auto" w:line="240" w:before="0" w:after="0"/>
              <w:ind w:left="1560" w:hanging="1560"/>
              <w:rPr>
                <w:rFonts w:ascii="Times New Roman" w:hAnsi="Times New Roman" w:eastAsia="Times New Roman"/>
                <w:sz w:val="24"/>
                <w:szCs w:val="24"/>
                <w:lang w:eastAsia="cs-CZ"/>
              </w:rPr>
            </w:pPr>
            <w:r>
              <w:rPr>
                <w:rFonts w:eastAsia="Times New Roman" w:ascii="Times New Roman" w:hAnsi="Times New Roman"/>
                <w:sz w:val="24"/>
                <w:szCs w:val="24"/>
                <w:lang w:eastAsia="cs-CZ"/>
              </w:rPr>
              <w:t>Vt5</w:t>
            </w:r>
          </w:p>
        </w:tc>
        <w:tc>
          <w:tcPr>
            <w:tcW w:w="8294" w:type="dxa"/>
            <w:tcBorders/>
            <w:shd w:color="auto" w:fill="auto" w:val="clear"/>
          </w:tcPr>
          <w:p>
            <w:pPr>
              <w:pStyle w:val="Normal"/>
              <w:spacing w:lineRule="auto" w:line="240" w:before="0" w:after="0"/>
              <w:ind w:left="885" w:hanging="0"/>
              <w:rPr>
                <w:rFonts w:ascii="Times New Roman" w:hAnsi="Times New Roman" w:eastAsia="Times New Roman"/>
                <w:sz w:val="24"/>
                <w:szCs w:val="24"/>
                <w:lang w:eastAsia="cs-CZ"/>
              </w:rPr>
            </w:pPr>
            <w:r>
              <w:rPr>
                <w:rFonts w:eastAsia="Times New Roman" w:ascii="Times New Roman" w:hAnsi="Times New Roman"/>
                <w:sz w:val="24"/>
                <w:szCs w:val="24"/>
                <w:lang w:eastAsia="cs-CZ"/>
              </w:rPr>
              <w:t>Riziko vyplývajúce z použitia prípravku pri dodržaní predpísanej dávky alebo koncentrácie je pre vtáky prijateľné.</w:t>
            </w:r>
          </w:p>
        </w:tc>
      </w:tr>
      <w:tr>
        <w:trPr/>
        <w:tc>
          <w:tcPr>
            <w:tcW w:w="675" w:type="dxa"/>
            <w:tcBorders/>
            <w:shd w:color="auto" w:fill="auto" w:val="clear"/>
          </w:tcPr>
          <w:p>
            <w:pPr>
              <w:pStyle w:val="Normal"/>
              <w:spacing w:lineRule="auto" w:line="240" w:before="0" w:after="0"/>
              <w:ind w:left="1560" w:hanging="1560"/>
              <w:rPr>
                <w:rFonts w:ascii="Times New Roman" w:hAnsi="Times New Roman" w:eastAsia="Times New Roman"/>
                <w:sz w:val="24"/>
                <w:szCs w:val="24"/>
                <w:lang w:eastAsia="cs-CZ"/>
              </w:rPr>
            </w:pPr>
            <w:r>
              <w:rPr>
                <w:rFonts w:eastAsia="Times New Roman" w:ascii="Times New Roman" w:hAnsi="Times New Roman"/>
                <w:sz w:val="24"/>
                <w:szCs w:val="24"/>
                <w:lang w:eastAsia="cs-CZ"/>
              </w:rPr>
              <w:t>Vo1</w:t>
            </w:r>
          </w:p>
        </w:tc>
        <w:tc>
          <w:tcPr>
            <w:tcW w:w="8294" w:type="dxa"/>
            <w:tcBorders/>
            <w:shd w:color="auto" w:fill="auto" w:val="clear"/>
          </w:tcPr>
          <w:p>
            <w:pPr>
              <w:pStyle w:val="Normal"/>
              <w:spacing w:lineRule="auto" w:line="240" w:before="0" w:after="0"/>
              <w:ind w:left="1560" w:hanging="675"/>
              <w:rPr>
                <w:rFonts w:ascii="Times New Roman" w:hAnsi="Times New Roman" w:eastAsia="Times New Roman"/>
                <w:sz w:val="24"/>
                <w:szCs w:val="24"/>
                <w:lang w:eastAsia="cs-CZ"/>
              </w:rPr>
            </w:pPr>
            <w:r>
              <w:rPr>
                <w:rFonts w:eastAsia="Times New Roman" w:ascii="Times New Roman" w:hAnsi="Times New Roman"/>
                <w:sz w:val="24"/>
                <w:szCs w:val="24"/>
                <w:lang w:eastAsia="cs-CZ"/>
              </w:rPr>
              <w:t>Pre ryby a ostatné vodné organizmy mimoriadne jedovatý.</w:t>
            </w:r>
          </w:p>
        </w:tc>
      </w:tr>
      <w:tr>
        <w:trPr/>
        <w:tc>
          <w:tcPr>
            <w:tcW w:w="675" w:type="dxa"/>
            <w:tcBorders/>
            <w:shd w:color="auto" w:fill="auto" w:val="clear"/>
          </w:tcPr>
          <w:p>
            <w:pPr>
              <w:pStyle w:val="Normal"/>
              <w:spacing w:lineRule="auto" w:line="240" w:before="0" w:after="0"/>
              <w:ind w:left="1560" w:hanging="1560"/>
              <w:rPr>
                <w:rFonts w:ascii="Times New Roman" w:hAnsi="Times New Roman" w:eastAsia="Times New Roman"/>
                <w:sz w:val="24"/>
                <w:szCs w:val="24"/>
              </w:rPr>
            </w:pPr>
            <w:r>
              <w:rPr>
                <w:rFonts w:eastAsia="Times New Roman" w:ascii="Times New Roman" w:hAnsi="Times New Roman"/>
                <w:sz w:val="24"/>
                <w:szCs w:val="24"/>
              </w:rPr>
              <w:t>V3</w:t>
            </w:r>
          </w:p>
        </w:tc>
        <w:tc>
          <w:tcPr>
            <w:tcW w:w="8294" w:type="dxa"/>
            <w:tcBorders/>
            <w:shd w:color="auto" w:fill="auto" w:val="clear"/>
          </w:tcPr>
          <w:p>
            <w:pPr>
              <w:pStyle w:val="Normal"/>
              <w:spacing w:lineRule="auto" w:line="240" w:before="0" w:after="0"/>
              <w:ind w:left="885" w:hanging="0"/>
              <w:rPr>
                <w:rFonts w:ascii="Times New Roman" w:hAnsi="Times New Roman" w:eastAsia="Times New Roman"/>
                <w:sz w:val="24"/>
                <w:szCs w:val="24"/>
              </w:rPr>
            </w:pPr>
            <w:r>
              <w:rPr>
                <w:rFonts w:eastAsia="Times New Roman" w:ascii="Times New Roman" w:hAnsi="Times New Roman"/>
                <w:sz w:val="24"/>
                <w:szCs w:val="24"/>
              </w:rPr>
              <w:t>Riziko prípravku je prijateľné pre dážďovky a iné pôdne makroorganizmy.</w:t>
            </w:r>
          </w:p>
        </w:tc>
      </w:tr>
      <w:tr>
        <w:trPr/>
        <w:tc>
          <w:tcPr>
            <w:tcW w:w="675" w:type="dxa"/>
            <w:tcBorders/>
            <w:shd w:color="auto" w:fill="auto" w:val="clear"/>
          </w:tcPr>
          <w:p>
            <w:pPr>
              <w:pStyle w:val="Normal"/>
              <w:spacing w:lineRule="auto" w:line="240" w:before="0" w:after="0"/>
              <w:ind w:left="1560" w:hanging="1560"/>
              <w:rPr>
                <w:rFonts w:ascii="Times New Roman" w:hAnsi="Times New Roman" w:eastAsia="Times New Roman"/>
                <w:sz w:val="24"/>
                <w:szCs w:val="24"/>
              </w:rPr>
            </w:pPr>
            <w:r>
              <w:rPr>
                <w:rFonts w:eastAsia="Times New Roman" w:ascii="Times New Roman" w:hAnsi="Times New Roman"/>
                <w:sz w:val="24"/>
                <w:szCs w:val="24"/>
              </w:rPr>
              <w:t>Vč3</w:t>
            </w:r>
          </w:p>
        </w:tc>
        <w:tc>
          <w:tcPr>
            <w:tcW w:w="8294" w:type="dxa"/>
            <w:tcBorders/>
            <w:shd w:color="auto" w:fill="auto" w:val="clear"/>
          </w:tcPr>
          <w:p>
            <w:pPr>
              <w:pStyle w:val="Normal"/>
              <w:spacing w:lineRule="auto" w:line="240" w:before="0" w:after="0"/>
              <w:ind w:left="885" w:hanging="0"/>
              <w:rPr>
                <w:rFonts w:ascii="Times New Roman" w:hAnsi="Times New Roman" w:eastAsia="Times New Roman"/>
                <w:sz w:val="24"/>
                <w:szCs w:val="24"/>
              </w:rPr>
            </w:pPr>
            <w:r>
              <w:rPr>
                <w:rFonts w:ascii="Times New Roman" w:hAnsi="Times New Roman"/>
                <w:szCs w:val="24"/>
              </w:rPr>
              <w:t>Prípravok pre včely s prijateľným rizikom pri dodržaní predpísanej dávky alebo koncentrácie</w:t>
            </w:r>
            <w:r>
              <w:rPr>
                <w:rFonts w:eastAsia="Times New Roman" w:ascii="Times New Roman" w:hAnsi="Times New Roman"/>
                <w:sz w:val="24"/>
                <w:szCs w:val="24"/>
              </w:rPr>
              <w:t xml:space="preserve"> Prípravok je pre populácie </w:t>
            </w:r>
            <w:r>
              <w:rPr>
                <w:rFonts w:eastAsia="Times New Roman" w:ascii="Times New Roman" w:hAnsi="Times New Roman"/>
                <w:i/>
                <w:sz w:val="24"/>
                <w:szCs w:val="24"/>
              </w:rPr>
              <w:t>Aphidius rhopalosiphi</w:t>
            </w:r>
            <w:r>
              <w:rPr>
                <w:rFonts w:eastAsia="Times New Roman" w:ascii="Times New Roman" w:hAnsi="Times New Roman"/>
                <w:sz w:val="24"/>
                <w:szCs w:val="24"/>
              </w:rPr>
              <w:t xml:space="preserve"> a </w:t>
            </w:r>
            <w:r>
              <w:rPr>
                <w:rFonts w:eastAsia="Times New Roman" w:ascii="Times New Roman" w:hAnsi="Times New Roman"/>
                <w:i/>
                <w:sz w:val="24"/>
                <w:szCs w:val="24"/>
              </w:rPr>
              <w:t>Typhlodromus pyri</w:t>
            </w:r>
            <w:r>
              <w:rPr>
                <w:rFonts w:eastAsia="Times New Roman" w:ascii="Times New Roman" w:hAnsi="Times New Roman"/>
                <w:sz w:val="24"/>
                <w:szCs w:val="24"/>
              </w:rPr>
              <w:t xml:space="preserve"> s prijateľným rizikom.</w:t>
            </w:r>
          </w:p>
        </w:tc>
      </w:tr>
    </w:tbl>
    <w:p>
      <w:pPr>
        <w:pStyle w:val="Normal"/>
        <w:spacing w:lineRule="auto" w:line="240" w:before="0" w:after="0"/>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overflowPunct w:val="true"/>
        <w:spacing w:lineRule="auto" w:line="240" w:before="0" w:after="0"/>
        <w:jc w:val="both"/>
        <w:textAlignment w:val="baseline"/>
        <w:rPr>
          <w:rFonts w:ascii="Times New Roman" w:hAnsi="Times New Roman"/>
          <w:b/>
          <w:b/>
          <w:sz w:val="24"/>
          <w:szCs w:val="24"/>
        </w:rPr>
      </w:pPr>
      <w:r>
        <w:rPr>
          <w:rFonts w:ascii="Times New Roman" w:hAnsi="Times New Roman"/>
          <w:b/>
          <w:sz w:val="24"/>
          <w:szCs w:val="24"/>
        </w:rPr>
        <w:t>Zákaz používania prípravku v 1. ochrannom pásme zdrojov pitných vôd!</w:t>
      </w:r>
    </w:p>
    <w:p>
      <w:pPr>
        <w:pStyle w:val="Normal"/>
        <w:overflowPunct w:val="true"/>
        <w:spacing w:lineRule="auto" w:line="240" w:before="0" w:after="0"/>
        <w:jc w:val="both"/>
        <w:textAlignment w:val="baseline"/>
        <w:rPr>
          <w:rFonts w:ascii="Times New Roman" w:hAnsi="Times New Roman"/>
          <w:sz w:val="24"/>
          <w:szCs w:val="24"/>
        </w:rPr>
      </w:pPr>
      <w:r>
        <w:rPr>
          <w:rFonts w:ascii="Times New Roman" w:hAnsi="Times New Roman"/>
          <w:sz w:val="24"/>
          <w:szCs w:val="24"/>
        </w:rPr>
        <w:t>V ochrannom pásme povrchových vôd II stupňa je použitie prípravku obmedzené:</w:t>
      </w:r>
    </w:p>
    <w:p>
      <w:pPr>
        <w:pStyle w:val="ListParagraph"/>
        <w:numPr>
          <w:ilvl w:val="0"/>
          <w:numId w:val="1"/>
        </w:numPr>
        <w:overflowPunct w:val="true"/>
        <w:spacing w:lineRule="auto" w:line="240" w:before="0" w:after="0"/>
        <w:ind w:left="426" w:hanging="360"/>
        <w:jc w:val="both"/>
        <w:textAlignment w:val="baseline"/>
        <w:rPr>
          <w:rFonts w:ascii="Times New Roman" w:hAnsi="Times New Roman"/>
          <w:sz w:val="24"/>
          <w:szCs w:val="24"/>
        </w:rPr>
      </w:pPr>
      <w:r>
        <w:rPr>
          <w:rFonts w:ascii="Times New Roman" w:hAnsi="Times New Roman"/>
          <w:sz w:val="24"/>
          <w:szCs w:val="24"/>
        </w:rPr>
        <w:t xml:space="preserve">Prípravok sa môže použiť </w:t>
      </w:r>
      <w:r>
        <w:rPr>
          <w:rFonts w:ascii="Times New Roman" w:hAnsi="Times New Roman"/>
          <w:b/>
          <w:sz w:val="24"/>
          <w:szCs w:val="24"/>
        </w:rPr>
        <w:t>v ochrannom pásme 2 stupňa vodárenského zdroja</w:t>
      </w:r>
      <w:r>
        <w:rPr>
          <w:rFonts w:ascii="Times New Roman" w:hAnsi="Times New Roman"/>
          <w:sz w:val="24"/>
          <w:szCs w:val="24"/>
        </w:rPr>
        <w:t xml:space="preserve"> </w:t>
      </w:r>
      <w:r>
        <w:rPr>
          <w:rFonts w:ascii="Times New Roman" w:hAnsi="Times New Roman"/>
          <w:b/>
          <w:sz w:val="24"/>
          <w:szCs w:val="24"/>
        </w:rPr>
        <w:t>povrchových vôd</w:t>
      </w:r>
      <w:r>
        <w:rPr>
          <w:rFonts w:ascii="Times New Roman" w:hAnsi="Times New Roman"/>
          <w:sz w:val="24"/>
          <w:szCs w:val="24"/>
        </w:rPr>
        <w:t>, ak je dodržaná neošetrená zóna v šírke minimálne dvojnásobku šírky koryta toku alebo 50 m široký neošetrený pás smerom k vodnému toku a vodnej ploche a 10 m smerom k najbližšiemu odvodňovaciemu kanálu.</w:t>
      </w:r>
    </w:p>
    <w:p>
      <w:pPr>
        <w:pStyle w:val="ListParagraph"/>
        <w:numPr>
          <w:ilvl w:val="0"/>
          <w:numId w:val="1"/>
        </w:numPr>
        <w:overflowPunct w:val="true"/>
        <w:spacing w:lineRule="auto" w:line="240" w:before="0" w:after="0"/>
        <w:ind w:left="426" w:hanging="360"/>
        <w:jc w:val="both"/>
        <w:textAlignment w:val="baseline"/>
        <w:rPr>
          <w:rFonts w:ascii="Times New Roman" w:hAnsi="Times New Roman"/>
          <w:sz w:val="24"/>
          <w:szCs w:val="24"/>
        </w:rPr>
      </w:pPr>
      <w:r>
        <w:rPr>
          <w:rFonts w:ascii="Times New Roman" w:hAnsi="Times New Roman"/>
          <w:sz w:val="24"/>
          <w:szCs w:val="24"/>
        </w:rPr>
        <w:t xml:space="preserve">Prípravok </w:t>
      </w:r>
      <w:r>
        <w:rPr>
          <w:rFonts w:ascii="Times New Roman" w:hAnsi="Times New Roman"/>
          <w:i/>
          <w:sz w:val="24"/>
          <w:szCs w:val="24"/>
        </w:rPr>
        <w:t xml:space="preserve">sa nemôže </w:t>
      </w:r>
      <w:r>
        <w:rPr>
          <w:rFonts w:ascii="Times New Roman" w:hAnsi="Times New Roman"/>
          <w:sz w:val="24"/>
          <w:szCs w:val="24"/>
        </w:rPr>
        <w:t xml:space="preserve">použiť </w:t>
      </w:r>
      <w:r>
        <w:rPr>
          <w:rFonts w:ascii="Times New Roman" w:hAnsi="Times New Roman"/>
          <w:b/>
          <w:sz w:val="24"/>
          <w:szCs w:val="24"/>
        </w:rPr>
        <w:t>v ochrannom pásme 2. stupňa vodárenského zdroja</w:t>
      </w:r>
      <w:r>
        <w:rPr>
          <w:rFonts w:ascii="Times New Roman" w:hAnsi="Times New Roman"/>
          <w:sz w:val="24"/>
          <w:szCs w:val="24"/>
        </w:rPr>
        <w:t xml:space="preserve"> </w:t>
      </w:r>
      <w:r>
        <w:rPr>
          <w:rFonts w:ascii="Times New Roman" w:hAnsi="Times New Roman"/>
          <w:b/>
          <w:sz w:val="24"/>
          <w:szCs w:val="24"/>
        </w:rPr>
        <w:t>povrchových vôd</w:t>
      </w:r>
      <w:r>
        <w:rPr>
          <w:rFonts w:ascii="Times New Roman" w:hAnsi="Times New Roman"/>
          <w:sz w:val="24"/>
          <w:szCs w:val="24"/>
        </w:rPr>
        <w:t xml:space="preserve"> na svahovitých pozemkoch nad 7°, kde je riziko splavovania prípravku do povrchových vôd, t.j. ak sú očakávané dažďové zrážky v priebehu 24 hodín.</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Neaplikujte v blízkosti hladín tečúcich a stojatých vôd! Dodržujte ochrannú zónu! Nevypúšťajte zvyšky prípravku a postrekovej zmesi do kanalizačnej siete!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Dbajte o to, aby sa v žiadnom prípade nedostal do tečúcich a stojatých vôd vo voľnej prírode!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Uložte mimo dosahu zvierat!</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PRÍPRAVOK V TOMTO VEĽKOSPOTREBITEĽSKOM BALENÍ NESMIE BYŤ PONÚKANÝ ALEBO PREDÁVANÝ ŠIROKEJ VEREJNOSTI !</w:t>
      </w:r>
    </w:p>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r>
    </w:p>
    <w:p>
      <w:pPr>
        <w:pStyle w:val="Normal"/>
        <w:numPr>
          <w:ilvl w:val="0"/>
          <w:numId w:val="0"/>
        </w:numPr>
        <w:spacing w:lineRule="auto" w:line="240" w:before="0" w:after="0"/>
        <w:jc w:val="both"/>
        <w:rPr>
          <w:rFonts w:ascii="Times New Roman" w:hAnsi="Times New Roman" w:eastAsia="Times New Roman"/>
          <w:b/>
          <w:b/>
          <w:bCs/>
          <w:sz w:val="24"/>
          <w:szCs w:val="24"/>
        </w:rPr>
      </w:pPr>
      <w:r>
        <w:rPr>
          <w:rFonts w:eastAsia="Times New Roman" w:ascii="Times New Roman" w:hAnsi="Times New Roman"/>
          <w:b/>
          <w:bCs/>
          <w:sz w:val="24"/>
          <w:szCs w:val="24"/>
        </w:rPr>
        <w:t>Držiteľ autorizácie:</w:t>
      </w:r>
    </w:p>
    <w:p>
      <w:pPr>
        <w:pStyle w:val="Normal"/>
        <w:numPr>
          <w:ilvl w:val="0"/>
          <w:numId w:val="0"/>
        </w:numPr>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Syngenta Slovakia s.r.o., Prievozská 4/D, 821 09 Bratislava</w:t>
      </w:r>
    </w:p>
    <w:p>
      <w:pPr>
        <w:pStyle w:val="Normal"/>
        <w:tabs>
          <w:tab w:val="left" w:pos="8640" w:leader="none"/>
        </w:tabs>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ab/>
      </w:r>
    </w:p>
    <w:p>
      <w:pPr>
        <w:pStyle w:val="Normal"/>
        <w:spacing w:lineRule="auto" w:line="240" w:before="0" w:after="0"/>
        <w:ind w:left="3544" w:hanging="3544"/>
        <w:jc w:val="both"/>
        <w:rPr>
          <w:rFonts w:ascii="Times New Roman" w:hAnsi="Times New Roman" w:eastAsia="Times New Roman"/>
          <w:b/>
          <w:b/>
          <w:bCs/>
          <w:sz w:val="24"/>
          <w:szCs w:val="24"/>
        </w:rPr>
      </w:pPr>
      <w:r>
        <w:rPr>
          <w:rFonts w:eastAsia="Times New Roman" w:ascii="Times New Roman" w:hAnsi="Times New Roman"/>
          <w:b/>
          <w:bCs/>
          <w:sz w:val="24"/>
          <w:szCs w:val="24"/>
        </w:rPr>
        <w:t>Číslo autorizácie ÚKSÚP:</w:t>
      </w:r>
      <w:r>
        <w:rPr>
          <w:rFonts w:eastAsia="Times New Roman" w:ascii="Times New Roman" w:hAnsi="Times New Roman"/>
          <w:sz w:val="24"/>
          <w:szCs w:val="24"/>
        </w:rPr>
        <w:tab/>
      </w:r>
      <w:r>
        <w:rPr>
          <w:rFonts w:eastAsia="Times New Roman" w:ascii="Times New Roman" w:hAnsi="Times New Roman"/>
          <w:b/>
          <w:sz w:val="28"/>
          <w:szCs w:val="28"/>
        </w:rPr>
        <w:t>15-11-1645</w:t>
      </w:r>
    </w:p>
    <w:p>
      <w:pPr>
        <w:pStyle w:val="Normal"/>
        <w:spacing w:lineRule="auto" w:line="240" w:before="0" w:after="0"/>
        <w:ind w:left="3544" w:hanging="3544"/>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left="3544" w:hanging="3544"/>
        <w:jc w:val="both"/>
        <w:rPr>
          <w:rFonts w:ascii="Times New Roman" w:hAnsi="Times New Roman" w:eastAsia="Times New Roman"/>
          <w:sz w:val="24"/>
          <w:szCs w:val="24"/>
        </w:rPr>
      </w:pPr>
      <w:r>
        <w:rPr>
          <w:rFonts w:eastAsia="Times New Roman" w:ascii="Times New Roman" w:hAnsi="Times New Roman"/>
          <w:b/>
          <w:bCs/>
          <w:sz w:val="24"/>
          <w:szCs w:val="24"/>
        </w:rPr>
        <w:t>Číslo výrobnej šarže:</w:t>
      </w:r>
      <w:r>
        <w:rPr>
          <w:rFonts w:eastAsia="Times New Roman" w:ascii="Times New Roman" w:hAnsi="Times New Roman"/>
          <w:sz w:val="24"/>
          <w:szCs w:val="24"/>
        </w:rPr>
        <w:tab/>
        <w:t>uvedené na obale</w:t>
      </w:r>
    </w:p>
    <w:p>
      <w:pPr>
        <w:pStyle w:val="Normal"/>
        <w:spacing w:lineRule="auto" w:line="240" w:before="0" w:after="0"/>
        <w:ind w:left="3544" w:hanging="3544"/>
        <w:jc w:val="both"/>
        <w:rPr>
          <w:rFonts w:ascii="Times New Roman" w:hAnsi="Times New Roman" w:eastAsia="Times New Roman"/>
          <w:sz w:val="24"/>
          <w:szCs w:val="24"/>
        </w:rPr>
      </w:pPr>
      <w:r>
        <w:rPr>
          <w:rFonts w:eastAsia="Times New Roman" w:ascii="Times New Roman" w:hAnsi="Times New Roman"/>
          <w:b/>
          <w:bCs/>
          <w:sz w:val="24"/>
          <w:szCs w:val="24"/>
        </w:rPr>
        <w:t>Dátum výroby:</w:t>
      </w:r>
      <w:r>
        <w:rPr>
          <w:rFonts w:eastAsia="Times New Roman" w:ascii="Times New Roman" w:hAnsi="Times New Roman"/>
          <w:sz w:val="24"/>
          <w:szCs w:val="24"/>
        </w:rPr>
        <w:tab/>
        <w:t>uvedený na obale</w:t>
      </w:r>
    </w:p>
    <w:p>
      <w:pPr>
        <w:pStyle w:val="Normal"/>
        <w:spacing w:lineRule="auto" w:line="240" w:before="0" w:after="0"/>
        <w:ind w:left="3544" w:hanging="3544"/>
        <w:jc w:val="both"/>
        <w:rPr>
          <w:rFonts w:ascii="Times New Roman" w:hAnsi="Times New Roman" w:eastAsia="Times New Roman"/>
          <w:sz w:val="24"/>
          <w:szCs w:val="24"/>
        </w:rPr>
      </w:pPr>
      <w:r>
        <w:rPr>
          <w:rFonts w:eastAsia="Times New Roman" w:ascii="Times New Roman" w:hAnsi="Times New Roman"/>
          <w:b/>
          <w:sz w:val="24"/>
          <w:szCs w:val="24"/>
        </w:rPr>
        <w:t>Balenie:</w:t>
      </w:r>
      <w:r>
        <w:rPr>
          <w:rFonts w:eastAsia="Times New Roman" w:ascii="Times New Roman" w:hAnsi="Times New Roman"/>
          <w:sz w:val="24"/>
          <w:szCs w:val="24"/>
        </w:rPr>
        <w:tab/>
        <w:t xml:space="preserve">1 l </w:t>
      </w:r>
      <w:r>
        <w:rPr>
          <w:rFonts w:ascii="Times New Roman" w:hAnsi="Times New Roman"/>
          <w:sz w:val="24"/>
          <w:szCs w:val="24"/>
        </w:rPr>
        <w:t>HDPE/PA fľaša</w:t>
      </w:r>
    </w:p>
    <w:p>
      <w:pPr>
        <w:pStyle w:val="Normal"/>
        <w:spacing w:lineRule="auto" w:line="240" w:before="0" w:after="0"/>
        <w:ind w:left="3544" w:hanging="4"/>
        <w:jc w:val="both"/>
        <w:rPr>
          <w:rFonts w:ascii="Times New Roman" w:hAnsi="Times New Roman"/>
          <w:sz w:val="24"/>
        </w:rPr>
      </w:pPr>
      <w:r>
        <w:rPr>
          <w:rFonts w:eastAsia="Times New Roman" w:ascii="Times New Roman" w:hAnsi="Times New Roman"/>
          <w:sz w:val="24"/>
          <w:szCs w:val="24"/>
        </w:rPr>
        <w:t>5 l, 10 l, 20 l f-HDPE kanister</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pPr>
      <w:r>
        <w:fldChar w:fldCharType="begin"/>
      </w:r>
      <w:r>
        <w:instrText>SYMBOL 210 \f "Symbol"</w:instrText>
      </w:r>
      <w:r>
        <w:fldChar w:fldCharType="separate"/>
      </w:r>
      <w:bookmarkStart w:id="5" w:name="__Fieldmark__8761_2392320463"/>
      <w:r>
        <w:rPr/>
      </w:r>
      <w:r>
        <w:rPr/>
      </w:r>
      <w:r>
        <w:fldChar w:fldCharType="end"/>
      </w:r>
      <w:bookmarkEnd w:id="5"/>
      <w:r>
        <w:rPr>
          <w:rFonts w:eastAsia="Times New Roman" w:ascii="Times New Roman" w:hAnsi="Times New Roman"/>
          <w:sz w:val="24"/>
          <w:szCs w:val="24"/>
          <w:lang w:eastAsia="cs-CZ"/>
        </w:rPr>
        <w:t xml:space="preserve"> ARCADE 880 EC je obchodná známka spoločnosti Syngenta Group Company</w:t>
      </w:r>
    </w:p>
    <w:p>
      <w:pPr>
        <w:pStyle w:val="Normal"/>
        <w:spacing w:lineRule="auto" w:line="240" w:before="0" w:after="0"/>
        <w:jc w:val="both"/>
        <w:rPr>
          <w:rFonts w:ascii="Times New Roman" w:hAnsi="Times New Roman" w:eastAsia="Times New Roman"/>
          <w:b/>
          <w:b/>
          <w:bCs/>
          <w:sz w:val="24"/>
          <w:szCs w:val="24"/>
          <w:u w:val="single"/>
          <w:lang w:eastAsia="cs-CZ"/>
        </w:rPr>
      </w:pPr>
      <w:r>
        <w:rPr>
          <w:rFonts w:eastAsia="Times New Roman" w:ascii="Times New Roman" w:hAnsi="Times New Roman"/>
          <w:b/>
          <w:bCs/>
          <w:sz w:val="24"/>
          <w:szCs w:val="24"/>
          <w:u w:val="single"/>
          <w:lang w:eastAsia="cs-CZ"/>
        </w:rPr>
      </w:r>
    </w:p>
    <w:p>
      <w:pPr>
        <w:pStyle w:val="Normal"/>
        <w:spacing w:lineRule="auto" w:line="240" w:before="0" w:after="0"/>
        <w:jc w:val="both"/>
        <w:rPr>
          <w:rFonts w:ascii="Times New Roman" w:hAnsi="Times New Roman" w:eastAsia="Times New Roman"/>
          <w:b/>
          <w:b/>
          <w:bCs/>
          <w:sz w:val="24"/>
          <w:szCs w:val="24"/>
          <w:u w:val="single"/>
          <w:lang w:eastAsia="cs-CZ"/>
        </w:rPr>
      </w:pPr>
      <w:r>
        <w:rPr>
          <w:rFonts w:eastAsia="Times New Roman" w:ascii="Times New Roman" w:hAnsi="Times New Roman"/>
          <w:b/>
          <w:bCs/>
          <w:sz w:val="24"/>
          <w:szCs w:val="24"/>
          <w:u w:val="single"/>
          <w:lang w:eastAsia="cs-CZ"/>
        </w:rPr>
      </w:r>
    </w:p>
    <w:p>
      <w:pPr>
        <w:pStyle w:val="Normal"/>
        <w:spacing w:lineRule="auto" w:line="240" w:before="0" w:after="0"/>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PÔSOBENIE PRÍPRAVKU</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Prípravok ARCADE 880 EC je herbicídny prípravok obsahujúci dve účinné látky prosulfocarb a metribuzin.</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 xml:space="preserve">Účinná látka </w:t>
      </w:r>
      <w:r>
        <w:rPr>
          <w:rFonts w:eastAsia="Times New Roman" w:ascii="Times New Roman" w:hAnsi="Times New Roman"/>
          <w:b/>
          <w:sz w:val="24"/>
          <w:szCs w:val="24"/>
          <w:lang w:eastAsia="cs-CZ"/>
        </w:rPr>
        <w:t>prosulfocarb</w:t>
      </w:r>
      <w:r>
        <w:rPr>
          <w:rFonts w:eastAsia="Times New Roman" w:ascii="Times New Roman" w:hAnsi="Times New Roman"/>
          <w:sz w:val="24"/>
          <w:szCs w:val="24"/>
          <w:lang w:eastAsia="cs-CZ"/>
        </w:rPr>
        <w:t xml:space="preserve"> je prijímaná prostredníctvom meristematických pletív klíčkov a koreňov burín, kde v najmladších častiach brzdí predlžovanie a delenie buniek. Hlavný účinok je dosiahnutý prijatím účinnej látky cez hypokotyl burín.</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 xml:space="preserve">Účinná látka </w:t>
      </w:r>
      <w:r>
        <w:rPr>
          <w:rFonts w:eastAsia="Times New Roman" w:ascii="Times New Roman" w:hAnsi="Times New Roman"/>
          <w:b/>
          <w:sz w:val="24"/>
          <w:szCs w:val="24"/>
          <w:lang w:eastAsia="cs-CZ"/>
        </w:rPr>
        <w:t>metribuzin</w:t>
      </w:r>
      <w:r>
        <w:rPr>
          <w:rFonts w:eastAsia="Times New Roman" w:ascii="Times New Roman" w:hAnsi="Times New Roman"/>
          <w:sz w:val="24"/>
          <w:szCs w:val="24"/>
          <w:lang w:eastAsia="cs-CZ"/>
        </w:rPr>
        <w:t xml:space="preserve"> je prijímaná prostredníctvom koreňov a tiež listov, v ktorých je následne akropetálne transportovaná xylémom. Jej pôsobením dochádza k blokovaniu elektrónového transportu vo fotosyntéze.</w:t>
      </w:r>
    </w:p>
    <w:p>
      <w:pPr>
        <w:pStyle w:val="Normal"/>
        <w:spacing w:lineRule="auto" w:line="240" w:before="0" w:after="0"/>
        <w:jc w:val="both"/>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r>
    </w:p>
    <w:p>
      <w:pPr>
        <w:pStyle w:val="Normal"/>
        <w:spacing w:lineRule="auto" w:line="240" w:before="0" w:after="0"/>
        <w:jc w:val="both"/>
        <w:rPr>
          <w:rFonts w:ascii="Times New Roman" w:hAnsi="Times New Roman"/>
          <w:b/>
          <w:b/>
          <w:bCs/>
          <w:caps/>
          <w:sz w:val="24"/>
          <w:szCs w:val="24"/>
        </w:rPr>
      </w:pPr>
      <w:r>
        <w:rPr>
          <w:rFonts w:ascii="Times New Roman" w:hAnsi="Times New Roman"/>
          <w:b/>
          <w:bCs/>
          <w:caps/>
          <w:sz w:val="24"/>
          <w:szCs w:val="24"/>
        </w:rPr>
        <w:t>Spektrum herbicídnej účinnosti</w:t>
      </w:r>
    </w:p>
    <w:p>
      <w:pPr>
        <w:pStyle w:val="Normal"/>
        <w:spacing w:lineRule="auto" w:line="240" w:before="0" w:after="0"/>
        <w:jc w:val="both"/>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t>Účinnosť pri aplikácii 4 l/ha:</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b/>
          <w:sz w:val="24"/>
          <w:szCs w:val="24"/>
          <w:u w:val="single"/>
          <w:lang w:eastAsia="cs-CZ"/>
        </w:rPr>
        <w:t>Citlivé buriny</w:t>
      </w:r>
      <w:r>
        <w:rPr>
          <w:rFonts w:eastAsia="Times New Roman" w:ascii="Times New Roman" w:hAnsi="Times New Roman"/>
          <w:b/>
          <w:sz w:val="24"/>
          <w:szCs w:val="24"/>
          <w:lang w:eastAsia="cs-CZ"/>
        </w:rPr>
        <w:t>:</w:t>
      </w:r>
      <w:r>
        <w:rPr>
          <w:rFonts w:eastAsia="Times New Roman" w:ascii="Times New Roman" w:hAnsi="Times New Roman"/>
          <w:sz w:val="24"/>
          <w:szCs w:val="24"/>
          <w:lang w:eastAsia="cs-CZ"/>
        </w:rPr>
        <w:t xml:space="preserve"> ježatka kuria, rumančekovité buriny, kapsička pastierska, ľuľok čierny, mrlík biely, pohánkovec ovíjavý, horčiak obyčajný, lipkavec obyčajný, fialky</w:t>
      </w:r>
    </w:p>
    <w:p>
      <w:pPr>
        <w:pStyle w:val="Normal"/>
        <w:spacing w:lineRule="auto" w:line="240" w:before="0" w:after="0"/>
        <w:jc w:val="both"/>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r>
    </w:p>
    <w:p>
      <w:pPr>
        <w:pStyle w:val="Normal"/>
        <w:spacing w:lineRule="auto" w:line="240" w:before="0" w:after="120"/>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NÁVOD NA POUŽITIE</w:t>
      </w:r>
    </w:p>
    <w:tbl>
      <w:tblPr>
        <w:tblW w:w="971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595"/>
        <w:gridCol w:w="3118"/>
        <w:gridCol w:w="1701"/>
        <w:gridCol w:w="1843"/>
        <w:gridCol w:w="1454"/>
      </w:tblGrid>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Plodina</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 xml:space="preserve">Účel použitia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Dávka/ha</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0" w:after="0"/>
              <w:jc w:val="center"/>
              <w:rPr>
                <w:rFonts w:ascii="Times New Roman" w:hAnsi="Times New Roman"/>
                <w:b/>
                <w:b/>
                <w:sz w:val="24"/>
              </w:rPr>
            </w:pPr>
            <w:r>
              <w:rPr>
                <w:rFonts w:eastAsia="Times New Roman" w:ascii="Times New Roman" w:hAnsi="Times New Roman"/>
                <w:b/>
                <w:sz w:val="24"/>
                <w:szCs w:val="24"/>
              </w:rPr>
              <w:t>Ochranná</w:t>
            </w:r>
            <w:r>
              <w:rPr>
                <w:rFonts w:ascii="Times New Roman" w:hAnsi="Times New Roman"/>
                <w:b/>
                <w:sz w:val="24"/>
              </w:rPr>
              <w:t xml:space="preserve"> doba</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0" w:after="0"/>
              <w:jc w:val="center"/>
              <w:rPr>
                <w:rFonts w:ascii="Times New Roman" w:hAnsi="Times New Roman"/>
                <w:b/>
                <w:b/>
                <w:sz w:val="24"/>
              </w:rPr>
            </w:pPr>
            <w:r>
              <w:rPr>
                <w:rFonts w:ascii="Times New Roman" w:hAnsi="Times New Roman"/>
                <w:b/>
                <w:sz w:val="24"/>
              </w:rPr>
              <w:t>Poznámka</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zemiak</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t> </w:t>
            </w:r>
            <w:r>
              <w:rPr>
                <w:rFonts w:eastAsia="Times New Roman" w:ascii="Times New Roman" w:hAnsi="Times New Roman"/>
                <w:sz w:val="24"/>
                <w:szCs w:val="24"/>
                <w:lang w:eastAsia="cs-CZ"/>
              </w:rPr>
              <w:t>jednoročné dvojklíčnolistové buriny a ježatka</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4 – 5 l</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AT</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tc>
      </w:tr>
    </w:tbl>
    <w:p>
      <w:pPr>
        <w:pStyle w:val="Normal"/>
        <w:spacing w:lineRule="auto" w:line="240" w:before="0" w:after="0"/>
        <w:jc w:val="both"/>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r>
    </w:p>
    <w:p>
      <w:pPr>
        <w:pStyle w:val="Normal"/>
        <w:spacing w:lineRule="auto" w:line="240" w:before="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POKYNY PRE APLIKÁCIU</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Dávka vody: 200 - 400 l/ha.</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Maximálny počet aplikácií za vegetačné obdobie: 1×.</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Maximálna dávka prípravku 1 x 5 l/ha, t.j. 400 g/ha účinnej látky metribuzin a 4000 g/ha účinnej látky prosulfocarb.</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 xml:space="preserve">Dávku </w:t>
      </w:r>
      <w:r>
        <w:rPr>
          <w:rFonts w:eastAsia="Times New Roman" w:ascii="Times New Roman" w:hAnsi="Times New Roman"/>
          <w:b/>
          <w:sz w:val="24"/>
          <w:szCs w:val="24"/>
          <w:lang w:eastAsia="cs-CZ"/>
        </w:rPr>
        <w:t>4 l/ha</w:t>
      </w:r>
      <w:r>
        <w:rPr>
          <w:rFonts w:eastAsia="Times New Roman" w:ascii="Times New Roman" w:hAnsi="Times New Roman"/>
          <w:sz w:val="24"/>
          <w:szCs w:val="24"/>
          <w:lang w:eastAsia="cs-CZ"/>
        </w:rPr>
        <w:t xml:space="preserve"> aplikujte preemergentne (pred vzídením burín ako aj plodiny) maximálne do rastovej fázy, kedy byľ preniká na povrch pôdy (BBCH 09) alebo skoro postemergentne, maximálne však do rastovej fázy vyvinutého 1. listu na hlavnej stonke (˃ 4 cm) (BBCH 09-11).</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 xml:space="preserve">Dávku </w:t>
      </w:r>
      <w:r>
        <w:rPr>
          <w:rFonts w:eastAsia="Times New Roman" w:ascii="Times New Roman" w:hAnsi="Times New Roman"/>
          <w:b/>
          <w:sz w:val="24"/>
          <w:szCs w:val="24"/>
          <w:lang w:eastAsia="cs-CZ"/>
        </w:rPr>
        <w:t>5 l/ha</w:t>
      </w:r>
      <w:r>
        <w:rPr>
          <w:rFonts w:eastAsia="Times New Roman" w:ascii="Times New Roman" w:hAnsi="Times New Roman"/>
          <w:sz w:val="24"/>
          <w:szCs w:val="24"/>
          <w:lang w:eastAsia="cs-CZ"/>
        </w:rPr>
        <w:t xml:space="preserve"> aplikujte preemergentne (pred vzídením burín ako aj plodiny) maximálne do rastovej fázy, kedy byľ preniká na povrch pôdy (BBCH 09), a to na pozemkoch silne zaburinených mrlíkmi alebo pohánkovcom ovíjavým.</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Prípravok ARCADE 880 EC pri skorej postemergentnej aplikácií použite v nasledujúcich rastových fázach burín: jednoročné trávy (ježatka kuria) a jednoročné dvojklíčnolistové buriny maximálne do 2 listov (BBCH 12).</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Prevažnou väčšinou odrôd zemiakov je prípravok ARCADE 880 EC dobre tolerovaný, pri aplikácií rešpektujte odrodovú citlivosť zemiakov voči účinnej látke metribuzin.</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Predpokladom dobrej účinnosti prípravku je dostatočná pôdna vlhkosť, herbicíd by mal byť aplikovaný pred zrážkami. Na pôdach s vyššou absorpčnou schopnosťou a na pôdach s vysokou náchylnosťou na vysychanie povrchových vrstiev nemožno vylúčiť zníženú účinnosť.</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b/>
          <w:b/>
          <w:sz w:val="24"/>
        </w:rPr>
      </w:pPr>
      <w:r>
        <w:rPr>
          <w:rFonts w:eastAsia="Times New Roman" w:ascii="Times New Roman" w:hAnsi="Times New Roman"/>
          <w:b/>
          <w:sz w:val="24"/>
          <w:szCs w:val="24"/>
          <w:lang w:eastAsia="cs-CZ"/>
        </w:rPr>
        <w:t>INFORMÁCIE O MOŽNEJ FYTOTOXICITE, ODRODOVEJ CITLIVOSTI A VŠETKÝCH ĎALŠÍCH PRIAMYCH A NEPRIAMYCH NEPRIAZNIVÝCH ÚČINKOCH NA RASTLINY ALEBO RASTLINNÉ PRODUKTY</w:t>
      </w:r>
    </w:p>
    <w:p>
      <w:pPr>
        <w:pStyle w:val="Normal"/>
        <w:tabs>
          <w:tab w:val="center" w:pos="4536" w:leader="none"/>
          <w:tab w:val="left" w:pos="7380" w:leader="none"/>
          <w:tab w:val="right" w:pos="9072" w:leader="none"/>
        </w:tabs>
        <w:spacing w:lineRule="auto" w:line="240" w:before="0" w:after="0"/>
        <w:jc w:val="both"/>
        <w:rPr>
          <w:rFonts w:ascii="Times New Roman" w:hAnsi="Times New Roman" w:eastAsia="Times New Roman"/>
          <w:sz w:val="24"/>
          <w:szCs w:val="24"/>
          <w:lang w:eastAsia="cs-CZ"/>
        </w:rPr>
      </w:pPr>
      <w:r>
        <w:rPr>
          <w:rFonts w:ascii="Times New Roman" w:hAnsi="Times New Roman"/>
          <w:sz w:val="24"/>
        </w:rPr>
        <w:t>Ak je prípravok ARCADE 880 EC aplikovaný v súlade s platnou etiketou a návodom na použitie je veľmi tolera</w:t>
      </w:r>
      <w:r>
        <w:rPr>
          <w:rFonts w:eastAsia="Times New Roman" w:ascii="Times New Roman" w:hAnsi="Times New Roman"/>
          <w:sz w:val="24"/>
          <w:szCs w:val="24"/>
          <w:lang w:eastAsia="cs-CZ"/>
        </w:rPr>
        <w:t>ntný k ošetrovaným rastlinám. Dôležité je najmä dodržiavať odrodovú citlivosť voči účinnej látke metribuzin a vyvarovať sa predávkovaniu a prekrytiu postrekových pásov. Citlivosť odrody konzultujte s držiteľom povolenia. Po aplikácii prípravku sa nedajú vylúčiť prejavy zvyčajne prechodnej fytotoxicity na ošetrovanej plodine. Príznaky prípadnej fytotoxicity majú iba dočasný charakter a nemajú vplyv na úrodu.</w:t>
      </w:r>
    </w:p>
    <w:p>
      <w:pPr>
        <w:pStyle w:val="Normal"/>
        <w:tabs>
          <w:tab w:val="center" w:pos="4536" w:leader="none"/>
          <w:tab w:val="left" w:pos="7380" w:leader="none"/>
          <w:tab w:val="right" w:pos="9072" w:leader="none"/>
        </w:tabs>
        <w:spacing w:lineRule="auto" w:line="240" w:before="0" w:after="0"/>
        <w:jc w:val="both"/>
        <w:rPr>
          <w:rFonts w:ascii="Times New Roman" w:hAnsi="Times New Roman" w:eastAsia="Times New Roman"/>
          <w:iCs/>
          <w:sz w:val="24"/>
          <w:szCs w:val="24"/>
          <w:lang w:eastAsia="cs-CZ"/>
        </w:rPr>
      </w:pPr>
      <w:r>
        <w:rPr>
          <w:rFonts w:eastAsia="Times New Roman" w:ascii="Times New Roman" w:hAnsi="Times New Roman"/>
          <w:sz w:val="24"/>
          <w:szCs w:val="24"/>
          <w:lang w:eastAsia="cs-CZ"/>
        </w:rPr>
        <w:t>Prípravok ARCADE 880 EC by nemal byť použitý na piesočnatých pôdach. Na ľahkých/piesočnatých pôdach, predovšetkým s obsahom humusu pod 1% nemožno vylúčiť z dôvodu splavenia prípravku do koreňovej zóny poškodenie plodiny.</w:t>
      </w:r>
    </w:p>
    <w:p>
      <w:pPr>
        <w:pStyle w:val="Normal"/>
        <w:spacing w:lineRule="auto" w:line="240" w:before="0" w:after="0"/>
        <w:rPr>
          <w:rFonts w:ascii="Times New Roman" w:hAnsi="Times New Roman" w:eastAsia="Times New Roman"/>
          <w:b/>
          <w:b/>
          <w:iCs/>
          <w:sz w:val="24"/>
          <w:szCs w:val="24"/>
          <w:lang w:eastAsia="cs-CZ"/>
        </w:rPr>
      </w:pPr>
      <w:r>
        <w:rPr>
          <w:rFonts w:eastAsia="Times New Roman" w:ascii="Times New Roman" w:hAnsi="Times New Roman"/>
          <w:b/>
          <w:iCs/>
          <w:sz w:val="24"/>
          <w:szCs w:val="24"/>
          <w:lang w:eastAsia="cs-CZ"/>
        </w:rPr>
      </w:r>
    </w:p>
    <w:p>
      <w:pPr>
        <w:pStyle w:val="Normal"/>
        <w:spacing w:lineRule="auto" w:line="240" w:before="0" w:after="0"/>
        <w:rPr>
          <w:rFonts w:ascii="Times New Roman" w:hAnsi="Times New Roman"/>
          <w:sz w:val="24"/>
        </w:rPr>
      </w:pPr>
      <w:r>
        <w:rPr>
          <w:rFonts w:eastAsia="Times New Roman" w:ascii="Times New Roman" w:hAnsi="Times New Roman"/>
          <w:b/>
          <w:iCs/>
          <w:sz w:val="24"/>
          <w:szCs w:val="24"/>
          <w:lang w:eastAsia="cs-CZ"/>
        </w:rPr>
        <w:t>OPATRENIA PROTI VZNIKU REZISTENCIE</w:t>
      </w:r>
    </w:p>
    <w:p>
      <w:pPr>
        <w:pStyle w:val="Normal"/>
        <w:spacing w:lineRule="auto" w:line="240" w:before="0" w:after="0"/>
        <w:jc w:val="both"/>
        <w:rPr>
          <w:rFonts w:ascii="Times New Roman" w:hAnsi="Times New Roman"/>
          <w:sz w:val="24"/>
        </w:rPr>
      </w:pPr>
      <w:r>
        <w:rPr>
          <w:rFonts w:ascii="Times New Roman" w:hAnsi="Times New Roman"/>
          <w:sz w:val="24"/>
        </w:rPr>
        <w:t>Herbicídny prípravok ARCADE 880 EC obsahuje dve účinné látky a to prosulfocarb, patriaci podľa HRAC do skupiny N - thiocarbamate a účinnú látku metribuzin, patriacu podľa HRAC do skupiny C1 - triazinone. Pre zabránenie vzniku rezistencie</w:t>
      </w:r>
      <w:r>
        <w:rPr>
          <w:rFonts w:eastAsia="Times New Roman" w:ascii="Times New Roman" w:hAnsi="Times New Roman"/>
          <w:bCs/>
          <w:sz w:val="24"/>
          <w:szCs w:val="24"/>
          <w:lang w:eastAsia="cs-CZ"/>
        </w:rPr>
        <w:t xml:space="preserve"> používajte tento prípravok v súlade s návodom na použitie, </w:t>
      </w:r>
      <w:r>
        <w:rPr>
          <w:rFonts w:ascii="Times New Roman" w:hAnsi="Times New Roman"/>
          <w:sz w:val="24"/>
        </w:rPr>
        <w:t>neaplikujte tento prípravok po sebe bez prerušenia ošetrením s iným herbicídom s odlišným mechanizmom účinku.</w:t>
      </w:r>
    </w:p>
    <w:p>
      <w:pPr>
        <w:pStyle w:val="Normal"/>
        <w:spacing w:lineRule="auto" w:line="240" w:before="0" w:after="0"/>
        <w:jc w:val="both"/>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r>
    </w:p>
    <w:p>
      <w:pPr>
        <w:pStyle w:val="Telotextu"/>
        <w:rPr>
          <w:rFonts w:eastAsia="SimSun"/>
          <w:sz w:val="24"/>
          <w:lang w:eastAsia="zh-CN"/>
        </w:rPr>
      </w:pPr>
      <w:r>
        <w:rPr>
          <w:rFonts w:eastAsia="SimSun"/>
          <w:sz w:val="24"/>
          <w:lang w:eastAsia="zh-CN"/>
        </w:rPr>
        <w:t xml:space="preserve">VPLYV NA ÚRODU </w:t>
      </w:r>
    </w:p>
    <w:p>
      <w:pPr>
        <w:pStyle w:val="Telotextu"/>
        <w:jc w:val="both"/>
        <w:rPr>
          <w:rFonts w:eastAsia="SimSun"/>
          <w:b w:val="false"/>
          <w:b w:val="false"/>
          <w:sz w:val="24"/>
          <w:lang w:eastAsia="zh-CN"/>
        </w:rPr>
      </w:pPr>
      <w:r>
        <w:rPr>
          <w:rFonts w:eastAsia="SimSun"/>
          <w:b w:val="false"/>
          <w:sz w:val="24"/>
          <w:lang w:eastAsia="zh-CN"/>
        </w:rPr>
        <w:t>Prípravok ARCADE 880 EC aplikovaný podľa odporúčaní minimalizuje konkurenciu burín k pôdnej vlahe a dostupným živinám v prvých fázach vývoja plodiny. Prípravok ARCADE 880 EC aplikovaný v súlade s platnou etiketou a návodom na použitie nemá negatívny vplyv úrodu.</w:t>
      </w:r>
    </w:p>
    <w:p>
      <w:pPr>
        <w:pStyle w:val="Telotextu"/>
        <w:rPr>
          <w:rFonts w:eastAsia="SimSun"/>
          <w:b w:val="false"/>
          <w:b w:val="false"/>
          <w:sz w:val="24"/>
          <w:u w:val="single"/>
          <w:lang w:eastAsia="zh-CN"/>
        </w:rPr>
      </w:pPr>
      <w:r>
        <w:rPr>
          <w:rFonts w:eastAsia="SimSun"/>
          <w:b w:val="false"/>
          <w:sz w:val="24"/>
          <w:u w:val="single"/>
          <w:lang w:eastAsia="zh-CN"/>
        </w:rPr>
      </w:r>
    </w:p>
    <w:p>
      <w:pPr>
        <w:pStyle w:val="Normal"/>
        <w:spacing w:lineRule="auto" w:line="240" w:before="0" w:after="0"/>
        <w:rPr>
          <w:rFonts w:ascii="Times New Roman" w:hAnsi="Times New Roman" w:eastAsia="SimSun"/>
          <w:b/>
          <w:b/>
          <w:sz w:val="24"/>
          <w:szCs w:val="24"/>
          <w:lang w:eastAsia="zh-CN"/>
        </w:rPr>
      </w:pPr>
      <w:r>
        <w:rPr>
          <w:rFonts w:eastAsia="SimSun" w:ascii="Times New Roman" w:hAnsi="Times New Roman"/>
          <w:b/>
          <w:sz w:val="24"/>
          <w:szCs w:val="24"/>
          <w:lang w:eastAsia="zh-CN"/>
        </w:rPr>
        <w:t>VPLYV NA NÁSLEDNÉ, NÁHRADNÉ A SUSEDIACE PLODINY</w:t>
      </w:r>
    </w:p>
    <w:p>
      <w:pPr>
        <w:pStyle w:val="Normal"/>
        <w:spacing w:lineRule="auto" w:line="240" w:before="0" w:after="0"/>
        <w:jc w:val="both"/>
        <w:rPr>
          <w:rFonts w:ascii="Times New Roman" w:hAnsi="Times New Roman" w:eastAsia="SimSun"/>
          <w:sz w:val="24"/>
          <w:szCs w:val="24"/>
          <w:lang w:eastAsia="zh-CN"/>
        </w:rPr>
      </w:pPr>
      <w:r>
        <w:rPr>
          <w:rFonts w:eastAsia="SimSun" w:ascii="Times New Roman" w:hAnsi="Times New Roman"/>
          <w:sz w:val="24"/>
          <w:szCs w:val="24"/>
          <w:lang w:eastAsia="zh-CN"/>
        </w:rPr>
        <w:t>V tom istom roku na jeseň, po orbe do hĺbky minimálne 15 cm je možné ako následné plodiny pestovať ozimné obilniny. Orba by mala byť urobená čo najskôr po zbere zemiakov (3-4 týždne) a od aplikácie prípravku by malo uplynúť minimálne 16 týždňov.</w:t>
      </w:r>
    </w:p>
    <w:p>
      <w:pPr>
        <w:pStyle w:val="Normal"/>
        <w:spacing w:lineRule="auto" w:line="240" w:before="0" w:after="0"/>
        <w:jc w:val="both"/>
        <w:rPr>
          <w:rFonts w:ascii="Times New Roman" w:hAnsi="Times New Roman" w:eastAsia="SimSun"/>
          <w:sz w:val="24"/>
          <w:szCs w:val="24"/>
          <w:lang w:eastAsia="zh-CN"/>
        </w:rPr>
      </w:pPr>
      <w:r>
        <w:rPr>
          <w:rFonts w:eastAsia="SimSun" w:ascii="Times New Roman" w:hAnsi="Times New Roman"/>
          <w:sz w:val="24"/>
          <w:szCs w:val="24"/>
          <w:lang w:eastAsia="zh-CN"/>
        </w:rPr>
        <w:t>Následné plodiny pestované v rámci bežného osevného postupu v nasledovnom roku na jar možno pestovať bez obmedzenia, okrem šalátu a reďkoviek/reďkví.</w:t>
      </w:r>
    </w:p>
    <w:p>
      <w:pPr>
        <w:pStyle w:val="Normal"/>
        <w:keepNext/>
        <w:numPr>
          <w:ilvl w:val="0"/>
          <w:numId w:val="0"/>
        </w:numPr>
        <w:spacing w:lineRule="auto" w:line="240" w:before="0" w:after="0"/>
        <w:jc w:val="both"/>
        <w:outlineLvl w:val="6"/>
        <w:rPr>
          <w:rFonts w:ascii="Times New Roman" w:hAnsi="Times New Roman"/>
          <w:b/>
          <w:b/>
          <w:sz w:val="24"/>
        </w:rPr>
      </w:pPr>
      <w:r>
        <w:rPr>
          <w:rFonts w:ascii="Times New Roman" w:hAnsi="Times New Roman"/>
          <w:b/>
          <w:sz w:val="24"/>
        </w:rPr>
        <w:t>Postrek nesmie zasiahnuť susediace plodiny! Zabráňte úletu postrekovej kvapaliny!</w:t>
      </w:r>
    </w:p>
    <w:p>
      <w:pPr>
        <w:pStyle w:val="Normal"/>
        <w:spacing w:lineRule="auto" w:line="240" w:before="0" w:after="0"/>
        <w:rPr>
          <w:rFonts w:ascii="Times New Roman" w:hAnsi="Times New Roman" w:eastAsia="SimSun"/>
          <w:b/>
          <w:b/>
          <w:sz w:val="24"/>
          <w:szCs w:val="24"/>
          <w:lang w:eastAsia="zh-CN"/>
        </w:rPr>
      </w:pPr>
      <w:r>
        <w:rPr>
          <w:rFonts w:eastAsia="SimSun" w:ascii="Times New Roman" w:hAnsi="Times New Roman"/>
          <w:b/>
          <w:sz w:val="24"/>
          <w:szCs w:val="24"/>
          <w:lang w:eastAsia="zh-CN"/>
        </w:rPr>
      </w:r>
    </w:p>
    <w:p>
      <w:pPr>
        <w:pStyle w:val="Normal"/>
        <w:spacing w:lineRule="auto" w:line="240" w:before="0" w:after="0"/>
        <w:rPr>
          <w:rFonts w:ascii="Times New Roman" w:hAnsi="Times New Roman" w:eastAsia="SimSun"/>
          <w:b/>
          <w:b/>
          <w:sz w:val="24"/>
          <w:szCs w:val="24"/>
          <w:lang w:eastAsia="zh-CN"/>
        </w:rPr>
      </w:pPr>
      <w:r>
        <w:rPr>
          <w:rFonts w:ascii="Times New Roman" w:hAnsi="Times New Roman"/>
          <w:b/>
          <w:sz w:val="24"/>
          <w:szCs w:val="24"/>
        </w:rPr>
        <w:t>VPLYV NA UŽITOČNÉ A INÉ NECIEĽOVÉ ORGANIZMY</w:t>
      </w:r>
    </w:p>
    <w:p>
      <w:pPr>
        <w:pStyle w:val="Normal"/>
        <w:spacing w:lineRule="auto" w:line="240" w:before="0" w:after="0"/>
        <w:jc w:val="both"/>
        <w:rPr>
          <w:rFonts w:ascii="Times New Roman" w:hAnsi="Times New Roman" w:eastAsia="Times New Roman"/>
          <w:bCs/>
          <w:iCs/>
          <w:sz w:val="24"/>
          <w:szCs w:val="24"/>
          <w:lang w:eastAsia="cs-CZ"/>
        </w:rPr>
      </w:pPr>
      <w:r>
        <w:rPr>
          <w:rFonts w:eastAsia="Times New Roman" w:ascii="Times New Roman" w:hAnsi="Times New Roman"/>
          <w:bCs/>
          <w:iCs/>
          <w:sz w:val="24"/>
          <w:szCs w:val="24"/>
          <w:lang w:eastAsia="cs-CZ"/>
        </w:rPr>
        <w:t>Počas skúšania nebol pozorovaný žiadny negatívny vplyv na užitočné a iné necieľové organizmy.</w:t>
      </w:r>
    </w:p>
    <w:p>
      <w:pPr>
        <w:pStyle w:val="Normal"/>
        <w:spacing w:lineRule="auto" w:line="240" w:before="0" w:after="0"/>
        <w:jc w:val="both"/>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r>
    </w:p>
    <w:p>
      <w:pPr>
        <w:pStyle w:val="Normal"/>
        <w:keepNext/>
        <w:numPr>
          <w:ilvl w:val="0"/>
          <w:numId w:val="0"/>
        </w:numPr>
        <w:spacing w:lineRule="auto" w:line="240" w:before="0" w:after="0"/>
        <w:outlineLvl w:val="1"/>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PRÍPRAVA POSTREKOVEJ KVAPALINY A ZNEŠKODNENIE OBALOV</w:t>
      </w:r>
    </w:p>
    <w:p>
      <w:pPr>
        <w:pStyle w:val="Normal"/>
        <w:spacing w:lineRule="auto" w:line="240" w:before="0" w:after="0"/>
        <w:jc w:val="both"/>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t xml:space="preserve">Prípravok pred použitím dôkladne premiešajte. </w:t>
      </w:r>
      <w:r>
        <w:rPr>
          <w:rFonts w:eastAsia="Times New Roman" w:ascii="Times New Roman" w:hAnsi="Times New Roman"/>
          <w:sz w:val="24"/>
          <w:szCs w:val="24"/>
          <w:lang w:eastAsia="cs-CZ"/>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Pripravte len také množstvo postrekovej kvapaliny, ktoré spotrebujete.</w:t>
      </w:r>
      <w:r>
        <w:rPr>
          <w:rFonts w:eastAsia="Times New Roman" w:ascii="Times New Roman" w:hAnsi="Times New Roman"/>
          <w:bCs/>
          <w:sz w:val="24"/>
          <w:szCs w:val="24"/>
          <w:lang w:eastAsia="cs-CZ"/>
        </w:rPr>
        <w:t xml:space="preserve"> Čerpadlo je potrebné ponechať zapnuté aj počas presunu postrekovača a pri samotnej aplikácii.</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bCs/>
          <w:sz w:val="24"/>
          <w:szCs w:val="24"/>
          <w:lang w:eastAsia="cs-CZ"/>
        </w:rPr>
        <w:t>Zákaz opätovného použitia obalu alebo jeho použitia na iné účely!</w:t>
      </w:r>
    </w:p>
    <w:p>
      <w:pPr>
        <w:pStyle w:val="Normal"/>
        <w:spacing w:lineRule="auto" w:line="240" w:before="0" w:after="0"/>
        <w:jc w:val="both"/>
        <w:rPr>
          <w:rFonts w:ascii="Times New Roman" w:hAnsi="Times New Roman" w:eastAsia="Times New Roman"/>
          <w:bCs/>
          <w:sz w:val="24"/>
          <w:szCs w:val="24"/>
          <w:lang w:eastAsia="cs-CZ"/>
        </w:rPr>
      </w:pPr>
      <w:r>
        <w:rPr>
          <w:rFonts w:eastAsia="Times New Roman" w:ascii="Times New Roman" w:hAnsi="Times New Roman"/>
          <w:bCs/>
          <w:sz w:val="24"/>
          <w:szCs w:val="24"/>
          <w:lang w:eastAsia="cs-CZ"/>
        </w:rPr>
      </w:r>
    </w:p>
    <w:p>
      <w:pPr>
        <w:pStyle w:val="Normal"/>
        <w:spacing w:lineRule="auto" w:line="240" w:before="0" w:after="0"/>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ČISTENIE APLIKAČNÉHO ZARIADENIA</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Aby neskôr nedošlo k poškodeniu iných plodín ošetrovaných postrekovačom, v ktorom bol prípravok ARCADE 880 EC, musia byť všetky jeho stopy ihneď po ukončení postreku z postrekovača a miešacej nádrže odstránené podľa nasledujúceho postupu:</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a)</w:t>
        <w:tab/>
        <w:t>Po vypustení nádrže vyplachujte nádrž, ramená a trysky čistou vodou aspoň 10 minút.</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b)</w:t>
        <w:tab/>
        <w:t xml:space="preserve">Nádrž a trysky neutralizujte prípravkom </w:t>
      </w:r>
      <w:r>
        <w:rPr>
          <w:rFonts w:eastAsia="Times New Roman" w:ascii="Times New Roman" w:hAnsi="Times New Roman"/>
          <w:b/>
          <w:sz w:val="24"/>
          <w:szCs w:val="24"/>
          <w:lang w:eastAsia="cs-CZ"/>
        </w:rPr>
        <w:t>AGROCLEAN</w:t>
      </w:r>
      <w:r>
        <w:rPr>
          <w:rFonts w:eastAsia="Times New Roman" w:ascii="Times New Roman" w:hAnsi="Times New Roman"/>
          <w:b/>
          <w:sz w:val="24"/>
          <w:szCs w:val="24"/>
          <w:vertAlign w:val="superscript"/>
          <w:lang w:eastAsia="cs-CZ"/>
        </w:rPr>
        <w:t>®</w:t>
      </w:r>
      <w:r>
        <w:rPr>
          <w:rFonts w:eastAsia="Times New Roman" w:ascii="Times New Roman" w:hAnsi="Times New Roman"/>
          <w:sz w:val="24"/>
          <w:szCs w:val="24"/>
          <w:lang w:eastAsia="cs-CZ"/>
        </w:rPr>
        <w:t>. Opätovne naplňte nádrž čistou vodou a následne prepláchnite ramená a trysky.</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c)</w:t>
        <w:tab/>
        <w:t>Oplachové vody zlikvidujte ako nebezpečný odpad.</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d)</w:t>
        <w:tab/>
        <w:t>Trysky a sieťku čistite oddelene.</w:t>
      </w:r>
    </w:p>
    <w:p>
      <w:pPr>
        <w:pStyle w:val="Normal"/>
        <w:spacing w:lineRule="auto" w:line="240" w:before="0" w:after="0"/>
        <w:rPr>
          <w:rFonts w:ascii="Times New Roman" w:hAnsi="Times New Roman" w:eastAsia="Times New Roman"/>
          <w:sz w:val="20"/>
          <w:szCs w:val="20"/>
          <w:lang w:eastAsia="cs-CZ"/>
        </w:rPr>
      </w:pPr>
      <w:r>
        <w:rPr>
          <w:rFonts w:eastAsia="Times New Roman" w:ascii="Times New Roman" w:hAnsi="Times New Roman"/>
          <w:sz w:val="24"/>
          <w:szCs w:val="24"/>
          <w:lang w:eastAsia="cs-CZ"/>
        </w:rPr>
        <w:t xml:space="preserve">Použité pomocné nádoby a osobné ochranné pracovné prostriedky asanujte prípravkom </w:t>
      </w:r>
      <w:r>
        <w:rPr>
          <w:rFonts w:eastAsia="Times New Roman" w:ascii="Times New Roman" w:hAnsi="Times New Roman"/>
          <w:b/>
          <w:sz w:val="24"/>
          <w:szCs w:val="24"/>
          <w:lang w:eastAsia="cs-CZ"/>
        </w:rPr>
        <w:t>AGROCLEAN</w:t>
      </w:r>
      <w:r>
        <w:rPr>
          <w:rFonts w:eastAsia="Times New Roman" w:ascii="Times New Roman" w:hAnsi="Times New Roman"/>
          <w:b/>
          <w:sz w:val="24"/>
          <w:szCs w:val="24"/>
          <w:vertAlign w:val="superscript"/>
          <w:lang w:eastAsia="cs-CZ"/>
        </w:rPr>
        <w:t>®</w:t>
      </w:r>
      <w:r>
        <w:rPr>
          <w:rFonts w:eastAsia="Times New Roman" w:ascii="Times New Roman" w:hAnsi="Times New Roman"/>
          <w:sz w:val="24"/>
          <w:szCs w:val="24"/>
          <w:lang w:eastAsia="cs-CZ"/>
        </w:rPr>
        <w:t xml:space="preserve"> a umyte vodou.</w:t>
      </w:r>
    </w:p>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rPr>
          <w:rFonts w:ascii="Times New Roman" w:hAnsi="Times New Roman"/>
          <w:b/>
          <w:b/>
          <w:sz w:val="24"/>
        </w:rPr>
      </w:pPr>
      <w:r>
        <w:rPr>
          <w:rFonts w:ascii="Times New Roman" w:hAnsi="Times New Roman"/>
          <w:b/>
          <w:sz w:val="24"/>
        </w:rPr>
        <w:t>BEZPEČNOSTNÉ OPATRENIA</w:t>
      </w:r>
    </w:p>
    <w:p>
      <w:pPr>
        <w:pStyle w:val="Normal"/>
        <w:spacing w:lineRule="auto" w:line="240" w:before="0" w:after="0"/>
        <w:jc w:val="both"/>
        <w:rPr>
          <w:rFonts w:ascii="Times New Roman" w:hAnsi="Times New Roman" w:eastAsia="Times New Roman"/>
          <w:sz w:val="24"/>
          <w:szCs w:val="24"/>
          <w:lang w:eastAsia="cs-CZ"/>
        </w:rPr>
      </w:pPr>
      <w:r>
        <w:rPr>
          <w:rFonts w:ascii="Times New Roman" w:hAnsi="Times New Roman"/>
          <w:b/>
          <w:sz w:val="24"/>
        </w:rPr>
        <w:t>Pri práci</w:t>
      </w:r>
      <w:r>
        <w:rPr>
          <w:rFonts w:ascii="Times New Roman" w:hAnsi="Times New Roman"/>
          <w:sz w:val="24"/>
        </w:rPr>
        <w:t xml:space="preserve"> s prípravkom používajte ochranný pracovný odev, , gum</w:t>
      </w:r>
      <w:r>
        <w:rPr>
          <w:rFonts w:eastAsia="Times New Roman" w:ascii="Times New Roman" w:hAnsi="Times New Roman"/>
          <w:sz w:val="24"/>
          <w:szCs w:val="24"/>
          <w:lang w:eastAsia="cs-CZ"/>
        </w:rPr>
        <w:t>ené rukavice odolné voči chemikáliám a gumenú obuv, prípadne iné komerčne dostupné schválené ekvivalenty uvedenej typovej ochrany. Pri príprave aplikačnej kvapaliny ani pri vykonávaní postreku nepoužívajte kontaktné šošovky.</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Postrekovať možno len za bezvetria alebo pri miernom vánku a to v smere po vetre od pracujúcich smerom do neošetrenej plochy. Opätovný vstup na ošetrený pozemok je možný po zaschnutí.</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Počas práce a po nej až do vyzlečenia ochranného odevu a dôkladného umytia celého tela mydlom a teplou vodou nejedzte, nepite a ani nefajčite!</w:t>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Prípravok obsahuje ako rozpúšťadlo vodu - nie je horľavou kvapalinou. S vodou sa mieša v každom pomere. Ak sa prípravok dostane do centra požiaru, zabezpečte aby kontaminovaná voda z miesta požiaru neprenikla do okolia - najmä aby neprenikla do verejnej kanalizácie, zdrojov podzemných vôd a recipientov povrchových vôd a nezasiahla poľnohospodársku pôdu.</w:t>
      </w:r>
    </w:p>
    <w:p>
      <w:pPr>
        <w:pStyle w:val="Normal"/>
        <w:spacing w:lineRule="auto" w:line="240" w:before="0" w:after="0"/>
        <w:jc w:val="both"/>
        <w:rPr>
          <w:rFonts w:ascii="Times New Roman" w:hAnsi="Times New Roman"/>
          <w:sz w:val="24"/>
        </w:rPr>
      </w:pPr>
      <w:r>
        <w:rPr>
          <w:rFonts w:eastAsia="Times New Roman" w:ascii="Times New Roman" w:hAnsi="Times New Roman"/>
          <w:b/>
          <w:sz w:val="24"/>
          <w:szCs w:val="24"/>
          <w:lang w:eastAsia="cs-CZ"/>
        </w:rPr>
        <w:t>Dôležité upozornenie:</w:t>
      </w:r>
      <w:r>
        <w:rPr>
          <w:rFonts w:eastAsia="Times New Roman" w:ascii="Times New Roman" w:hAnsi="Times New Roman"/>
          <w:sz w:val="24"/>
          <w:szCs w:val="24"/>
          <w:lang w:eastAsia="cs-CZ"/>
        </w:rPr>
        <w:t xml:space="preserve"> pri protipožiarnom zásahu použite izolačné dýchacie prístroje, lebo pri horení môže dochádzať ku vzniku toxických </w:t>
      </w:r>
      <w:r>
        <w:rPr>
          <w:rFonts w:ascii="Times New Roman" w:hAnsi="Times New Roman"/>
          <w:sz w:val="24"/>
        </w:rPr>
        <w:t>splodín.</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keepNext/>
        <w:numPr>
          <w:ilvl w:val="0"/>
          <w:numId w:val="0"/>
        </w:numPr>
        <w:spacing w:lineRule="auto" w:line="240" w:before="0" w:after="0"/>
        <w:outlineLvl w:val="1"/>
        <w:rPr>
          <w:rFonts w:ascii="Times New Roman" w:hAnsi="Times New Roman"/>
          <w:b/>
          <w:b/>
          <w:sz w:val="24"/>
        </w:rPr>
      </w:pPr>
      <w:r>
        <w:rPr>
          <w:rFonts w:ascii="Times New Roman" w:hAnsi="Times New Roman"/>
          <w:b/>
          <w:sz w:val="24"/>
        </w:rPr>
        <w:t>PRVÁ POMOC</w:t>
      </w:r>
    </w:p>
    <w:tbl>
      <w:tblPr>
        <w:tblW w:w="9755" w:type="dxa"/>
        <w:jc w:val="left"/>
        <w:tblInd w:w="0" w:type="dxa"/>
        <w:tblBorders/>
        <w:tblCellMar>
          <w:top w:w="0" w:type="dxa"/>
          <w:left w:w="108" w:type="dxa"/>
          <w:bottom w:w="0" w:type="dxa"/>
          <w:right w:w="108" w:type="dxa"/>
        </w:tblCellMar>
        <w:tblLook w:firstRow="1" w:noVBand="0" w:lastRow="1" w:firstColumn="1" w:lastColumn="1" w:noHBand="0" w:val="01e0"/>
      </w:tblPr>
      <w:tblGrid>
        <w:gridCol w:w="2833"/>
        <w:gridCol w:w="6921"/>
      </w:tblGrid>
      <w:tr>
        <w:trPr>
          <w:trHeight w:val="254" w:hRule="atLeast"/>
        </w:trPr>
        <w:tc>
          <w:tcPr>
            <w:tcW w:w="2833" w:type="dxa"/>
            <w:tcBorders/>
            <w:shd w:fill="auto" w:val="clear"/>
          </w:tcPr>
          <w:p>
            <w:pPr>
              <w:pStyle w:val="Normal"/>
              <w:spacing w:lineRule="auto" w:line="240" w:before="120" w:after="0"/>
              <w:jc w:val="both"/>
              <w:rPr>
                <w:rFonts w:ascii="Times New Roman" w:hAnsi="Times New Roman"/>
                <w:b/>
                <w:b/>
                <w:sz w:val="24"/>
              </w:rPr>
            </w:pPr>
            <w:r>
              <w:rPr>
                <w:rFonts w:ascii="Times New Roman" w:hAnsi="Times New Roman"/>
                <w:b/>
                <w:sz w:val="24"/>
              </w:rPr>
              <w:t>Všeobecné odporučenia:</w:t>
            </w:r>
          </w:p>
        </w:tc>
        <w:tc>
          <w:tcPr>
            <w:tcW w:w="6921" w:type="dxa"/>
            <w:tcBorders/>
            <w:shd w:fill="auto" w:val="clear"/>
          </w:tcPr>
          <w:p>
            <w:pPr>
              <w:pStyle w:val="Normal"/>
              <w:spacing w:lineRule="auto" w:line="240" w:before="120" w:after="0"/>
              <w:jc w:val="both"/>
              <w:rPr>
                <w:rFonts w:ascii="Times New Roman" w:hAnsi="Times New Roman"/>
                <w:sz w:val="24"/>
              </w:rPr>
            </w:pPr>
            <w:r>
              <w:rPr>
                <w:rFonts w:ascii="Times New Roman" w:hAnsi="Times New Roman"/>
                <w:sz w:val="24"/>
              </w:rPr>
              <w:t>Keď voláte na telefónne číslo tiesňového volania spoločnosti Syngenta, toxikologické stredisko alebo idete na lekárske ošetrenie, majte so sebou obal, etiketu alebo kartu bezpečnostných údajov tohto prípravku.</w:t>
            </w:r>
          </w:p>
        </w:tc>
      </w:tr>
      <w:tr>
        <w:trPr>
          <w:trHeight w:val="254" w:hRule="atLeast"/>
        </w:trPr>
        <w:tc>
          <w:tcPr>
            <w:tcW w:w="2833" w:type="dxa"/>
            <w:tcBorders/>
            <w:shd w:fill="auto" w:val="clear"/>
          </w:tcPr>
          <w:p>
            <w:pPr>
              <w:pStyle w:val="Normal"/>
              <w:spacing w:lineRule="auto" w:line="240" w:before="12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Po vdýchnutí:</w:t>
            </w:r>
          </w:p>
        </w:tc>
        <w:tc>
          <w:tcPr>
            <w:tcW w:w="6921" w:type="dxa"/>
            <w:tcBorders/>
            <w:shd w:fill="auto" w:val="clear"/>
          </w:tcPr>
          <w:p>
            <w:pPr>
              <w:pStyle w:val="Normal"/>
              <w:spacing w:lineRule="auto" w:line="240" w:before="12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Vyveďte postihnutého na čerstvý vzduch. Ak postihnutý dýcha nepravidelne alebo nedýcha vôbec, začnite s umelým dýchaním. Postihnutého udržiavajte v teple a pokoji. Ihneď volajte lekára alebo toxikologické stredisko.</w:t>
            </w:r>
          </w:p>
        </w:tc>
      </w:tr>
      <w:tr>
        <w:trPr>
          <w:trHeight w:val="254" w:hRule="atLeast"/>
        </w:trPr>
        <w:tc>
          <w:tcPr>
            <w:tcW w:w="2833" w:type="dxa"/>
            <w:tcBorders/>
            <w:shd w:fill="auto" w:val="clear"/>
          </w:tcPr>
          <w:p>
            <w:pPr>
              <w:pStyle w:val="Normal"/>
              <w:spacing w:lineRule="auto" w:line="240" w:before="12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Po zasiahnutí pokožky:</w:t>
            </w:r>
          </w:p>
        </w:tc>
        <w:tc>
          <w:tcPr>
            <w:tcW w:w="6921" w:type="dxa"/>
            <w:tcBorders/>
            <w:shd w:fill="auto" w:val="clear"/>
          </w:tcPr>
          <w:p>
            <w:pPr>
              <w:pStyle w:val="Normal"/>
              <w:spacing w:lineRule="auto" w:line="240" w:before="12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Ihneď postihnutého vyzlečte zo zasiahnutého odevu. Zasiahnuté miesto umyte veľkým množstvom vody. Ak podráždenie pokožky pretrváva, vyhľadajte lekára. Znečistený odev pred opätovným použitím vyperte.</w:t>
            </w:r>
          </w:p>
        </w:tc>
      </w:tr>
      <w:tr>
        <w:trPr>
          <w:trHeight w:val="254" w:hRule="atLeast"/>
        </w:trPr>
        <w:tc>
          <w:tcPr>
            <w:tcW w:w="2833" w:type="dxa"/>
            <w:tcBorders/>
            <w:shd w:fill="auto" w:val="clear"/>
          </w:tcPr>
          <w:p>
            <w:pPr>
              <w:pStyle w:val="Normal"/>
              <w:spacing w:lineRule="auto" w:line="240" w:before="12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Po zasiahnutí očí:</w:t>
            </w:r>
          </w:p>
        </w:tc>
        <w:tc>
          <w:tcPr>
            <w:tcW w:w="6921" w:type="dxa"/>
            <w:tcBorders/>
            <w:shd w:fill="auto" w:val="clear"/>
          </w:tcPr>
          <w:p>
            <w:pPr>
              <w:pStyle w:val="Normal"/>
              <w:spacing w:lineRule="auto" w:line="240" w:before="12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Oči, vrátane pod viečkami vyplachujte veľkým množstvom vody po dobu najmenej 15 minút. Vyberte kontaktné šošovky. Ihneď vyhľadajte lekárske ošetrenie.</w:t>
            </w:r>
          </w:p>
        </w:tc>
      </w:tr>
      <w:tr>
        <w:trPr>
          <w:trHeight w:val="254" w:hRule="atLeast"/>
        </w:trPr>
        <w:tc>
          <w:tcPr>
            <w:tcW w:w="2833" w:type="dxa"/>
            <w:tcBorders/>
            <w:shd w:fill="auto" w:val="clear"/>
          </w:tcPr>
          <w:p>
            <w:pPr>
              <w:pStyle w:val="Normal"/>
              <w:spacing w:lineRule="auto" w:line="240" w:before="120" w:after="0"/>
              <w:jc w:val="both"/>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Po požití:</w:t>
            </w:r>
          </w:p>
        </w:tc>
        <w:tc>
          <w:tcPr>
            <w:tcW w:w="6921" w:type="dxa"/>
            <w:tcBorders/>
            <w:shd w:fill="auto" w:val="clear"/>
          </w:tcPr>
          <w:p>
            <w:pPr>
              <w:pStyle w:val="Normal"/>
              <w:spacing w:lineRule="auto" w:line="240" w:before="120"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Po požití prípravku ihneď vyhľadajte lekárske ošetrenie a lekárovi ukážte tento obal alebo etiketu. Nevyvolávajte zvracanie.</w:t>
            </w:r>
          </w:p>
        </w:tc>
      </w:tr>
    </w:tbl>
    <w:p>
      <w:pPr>
        <w:pStyle w:val="Normal"/>
        <w:spacing w:lineRule="auto" w:line="240" w:before="0" w:after="0"/>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r>
    </w:p>
    <w:p>
      <w:pPr>
        <w:pStyle w:val="Normal"/>
        <w:spacing w:lineRule="auto" w:line="240" w:before="0" w:after="0"/>
        <w:jc w:val="both"/>
        <w:rPr>
          <w:rFonts w:ascii="Times New Roman" w:hAnsi="Times New Roman" w:eastAsia="Times New Roman"/>
          <w:sz w:val="24"/>
          <w:szCs w:val="24"/>
          <w:lang w:eastAsia="cs-CZ"/>
        </w:rPr>
      </w:pPr>
      <w:r>
        <w:rPr>
          <w:rFonts w:eastAsia="Times New Roman" w:ascii="Times New Roman" w:hAnsi="Times New Roman"/>
          <w:b/>
          <w:sz w:val="24"/>
          <w:szCs w:val="24"/>
          <w:u w:val="single"/>
          <w:lang w:eastAsia="cs-CZ"/>
        </w:rPr>
        <w:t>Informácie pre lekára</w:t>
      </w:r>
      <w:r>
        <w:rPr>
          <w:rFonts w:eastAsia="Times New Roman" w:ascii="Times New Roman" w:hAnsi="Times New Roman"/>
          <w:sz w:val="24"/>
          <w:szCs w:val="24"/>
          <w:lang w:eastAsia="cs-CZ"/>
        </w:rPr>
        <w:t>: Špecifická protilátka nie je známa. Používajte symptomatickú liečbu. V prípade potreby môže lekár liečbu konzultovať s Národným toxikologickým informačným centrom Bratislava, tel.: 02/54 774 166.</w:t>
      </w:r>
    </w:p>
    <w:p>
      <w:pPr>
        <w:pStyle w:val="Normal"/>
        <w:spacing w:lineRule="auto" w:line="240" w:before="0" w:after="0"/>
        <w:jc w:val="both"/>
        <w:rPr>
          <w:rFonts w:ascii="Times New Roman" w:hAnsi="Times New Roman" w:eastAsia="SimSun"/>
          <w:b/>
          <w:b/>
          <w:sz w:val="24"/>
          <w:szCs w:val="24"/>
          <w:lang w:eastAsia="zh-CN"/>
        </w:rPr>
      </w:pPr>
      <w:r>
        <w:rPr>
          <w:rFonts w:eastAsia="SimSun" w:ascii="Times New Roman" w:hAnsi="Times New Roman"/>
          <w:b/>
          <w:sz w:val="24"/>
          <w:szCs w:val="24"/>
          <w:lang w:eastAsia="zh-CN"/>
        </w:rPr>
        <w:t>V prípade nebezpečenstva volajte:</w:t>
      </w:r>
    </w:p>
    <w:p>
      <w:pPr>
        <w:pStyle w:val="Normal"/>
        <w:spacing w:lineRule="auto" w:line="240" w:before="0" w:after="0"/>
        <w:jc w:val="both"/>
        <w:rPr>
          <w:rFonts w:ascii="Times New Roman" w:hAnsi="Times New Roman"/>
          <w:sz w:val="24"/>
        </w:rPr>
      </w:pPr>
      <w:r>
        <w:rPr>
          <w:rFonts w:ascii="Times New Roman" w:hAnsi="Times New Roman"/>
          <w:sz w:val="24"/>
        </w:rPr>
        <w:t>SGS Slovenská republika: +421 905 585 938</w:t>
      </w:r>
    </w:p>
    <w:p>
      <w:pPr>
        <w:pStyle w:val="Normal"/>
        <w:spacing w:lineRule="auto" w:line="240" w:before="0" w:after="0"/>
        <w:jc w:val="both"/>
        <w:rPr>
          <w:rFonts w:ascii="Times New Roman" w:hAnsi="Times New Roman"/>
          <w:sz w:val="24"/>
        </w:rPr>
      </w:pPr>
      <w:r>
        <w:rPr>
          <w:rFonts w:ascii="Times New Roman" w:hAnsi="Times New Roman"/>
          <w:sz w:val="24"/>
        </w:rPr>
        <w:t>Syngenta Alarm Centre, Huddersfield, U.K., tel.: +44 1484 538 444, fax: +44 1484554093.</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keepNext/>
        <w:numPr>
          <w:ilvl w:val="0"/>
          <w:numId w:val="0"/>
        </w:numPr>
        <w:spacing w:lineRule="auto" w:line="240" w:before="0" w:after="0"/>
        <w:outlineLvl w:val="1"/>
        <w:rPr>
          <w:rFonts w:ascii="Times New Roman" w:hAnsi="Times New Roman"/>
          <w:b/>
          <w:b/>
          <w:sz w:val="24"/>
        </w:rPr>
      </w:pPr>
      <w:r>
        <w:rPr>
          <w:rFonts w:ascii="Times New Roman" w:hAnsi="Times New Roman"/>
          <w:b/>
          <w:sz w:val="24"/>
        </w:rPr>
        <w:t>SKLADOVANIE</w:t>
      </w:r>
    </w:p>
    <w:p>
      <w:pPr>
        <w:pStyle w:val="Normal"/>
        <w:spacing w:lineRule="auto" w:line="240" w:before="0" w:after="0"/>
        <w:jc w:val="both"/>
        <w:rPr>
          <w:rFonts w:ascii="Times New Roman" w:hAnsi="Times New Roman"/>
          <w:sz w:val="24"/>
        </w:rPr>
      </w:pPr>
      <w:r>
        <w:rPr>
          <w:rFonts w:ascii="Times New Roman" w:hAnsi="Times New Roman"/>
          <w:sz w:val="24"/>
        </w:rPr>
        <w:t>Prípravok skladujte v uzatvorených, originálnych obaloch, v uzamknutých, suchých, hygienicky čistých a dobre vetrateľných skladoch pri teplote +5°C až +30°C, oddelene od potravín, nápojov, liekov, krmív, hnojív, dezinfekčných prostriedkov, horľavín a obalov od týchto látok. Pri správnom skladovaní v pôvodných neporušených obaloch je doba použiteľnosti prípravku 2 roky od dátumu výroby.</w:t>
      </w:r>
    </w:p>
    <w:p>
      <w:pPr>
        <w:pStyle w:val="Normal"/>
        <w:spacing w:lineRule="auto" w:line="240" w:before="0"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keepNext/>
        <w:numPr>
          <w:ilvl w:val="0"/>
          <w:numId w:val="0"/>
        </w:numPr>
        <w:spacing w:lineRule="auto" w:line="240" w:before="0" w:after="0"/>
        <w:outlineLvl w:val="1"/>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ZNEŠKODNENIE ZVYŠKOV</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Nepoužité zvyšky prípravku v pôvodnom obale zneškodnite ako nebezpečný odpad.</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pPr>
        <w:pStyle w:val="Normal"/>
        <w:spacing w:lineRule="auto" w:line="240" w:before="0"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r>
    </w:p>
    <w:p>
      <w:pPr>
        <w:pStyle w:val="Normal"/>
        <w:spacing w:lineRule="auto" w:line="240" w:before="0" w:after="0"/>
        <w:rPr>
          <w:rFonts w:ascii="Times New Roman" w:hAnsi="Times New Roman" w:eastAsia="Times New Roman"/>
          <w:b/>
          <w:b/>
          <w:sz w:val="24"/>
          <w:szCs w:val="24"/>
          <w:u w:val="single"/>
          <w:lang w:eastAsia="cs-CZ"/>
        </w:rPr>
      </w:pPr>
      <w:r>
        <w:rPr>
          <w:rFonts w:eastAsia="Times New Roman" w:ascii="Times New Roman" w:hAnsi="Times New Roman"/>
          <w:b/>
          <w:sz w:val="24"/>
          <w:szCs w:val="24"/>
          <w:u w:val="single"/>
          <w:lang w:eastAsia="cs-CZ"/>
        </w:rPr>
      </w:r>
    </w:p>
    <w:p>
      <w:pPr>
        <w:pStyle w:val="Normal"/>
        <w:spacing w:lineRule="auto" w:line="240" w:before="0" w:after="0"/>
        <w:rPr>
          <w:rFonts w:ascii="Times New Roman" w:hAnsi="Times New Roman"/>
          <w:b/>
          <w:b/>
          <w:sz w:val="24"/>
          <w:u w:val="single"/>
        </w:rPr>
      </w:pPr>
      <w:r>
        <w:rPr>
          <w:rFonts w:eastAsia="Times New Roman" w:ascii="Times New Roman" w:hAnsi="Times New Roman"/>
          <w:b/>
          <w:sz w:val="24"/>
          <w:szCs w:val="24"/>
          <w:u w:val="single"/>
          <w:lang w:eastAsia="cs-CZ"/>
        </w:rPr>
        <w:t>Právne normy</w:t>
      </w:r>
    </w:p>
    <w:p>
      <w:pPr>
        <w:pStyle w:val="Normal"/>
        <w:pBdr/>
        <w:spacing w:lineRule="auto" w:line="240" w:before="0" w:after="0"/>
        <w:rPr/>
      </w:pPr>
      <w:r>
        <w:rPr>
          <w:rFonts w:ascii="Times New Roman" w:hAnsi="Times New Roman"/>
          <w:sz w:val="24"/>
        </w:rPr>
        <w:t>Pred použitím prípravku si pozorne prečítajte návod na použitie. Užívateľ nesie plnú zodpovednosť za poškodenie, ktoré spôsobí nesprávnym používaním prípravku.</w:t>
      </w:r>
    </w:p>
    <w:sectPr>
      <w:headerReference w:type="default" r:id="rId3"/>
      <w:footerReference w:type="default" r:id="rId4"/>
      <w:type w:val="nextPage"/>
      <w:pgSz w:w="11906" w:h="16838"/>
      <w:pgMar w:left="1134" w:right="1134" w:header="720" w:top="1134" w:footer="72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tabs>
        <w:tab w:val="right" w:pos="9072" w:leader="none"/>
      </w:tabs>
      <w:rPr/>
    </w:pPr>
    <w:r>
      <w:rPr>
        <w:sz w:val="20"/>
      </w:rPr>
      <w:t>ICZ/2019/07921/st</w:t>
      <w:tab/>
      <w:t xml:space="preserve"> </w:t>
      <w:tab/>
    </w:r>
    <w:r>
      <w:rPr>
        <w:rStyle w:val="Pagenumber"/>
        <w:sz w:val="20"/>
      </w:rPr>
      <w:fldChar w:fldCharType="begin"/>
    </w:r>
    <w:r>
      <w:instrText> PAGE </w:instrText>
    </w:r>
    <w:r>
      <w:fldChar w:fldCharType="separate"/>
    </w:r>
    <w:r>
      <w:t>5</w:t>
    </w:r>
    <w:r>
      <w:fldChar w:fldCharType="end"/>
    </w:r>
    <w:r>
      <w:rPr>
        <w:rStyle w:val="Pagenumber"/>
        <w:sz w:val="20"/>
      </w:rPr>
      <w:t>/</w:t>
    </w:r>
    <w:r>
      <w:rPr>
        <w:rStyle w:val="Pagenumber"/>
        <w:sz w:val="20"/>
      </w:rPr>
      <w:fldChar w:fldCharType="begin"/>
    </w:r>
    <w:r>
      <w:instrText> NUMPAGES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sz w:val="22"/>
        <w:szCs w:val="22"/>
        <w:lang w:val="sk-SK"/>
      </w:rPr>
    </w:pPr>
    <w:r>
      <w:rPr>
        <w:sz w:val="22"/>
        <w:szCs w:val="22"/>
        <w:lang w:val="sk-SK"/>
      </w:rPr>
      <w:t>Etiketa schválená: 25.02.2019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sz w:val="22"/>
      <w:szCs w:val="22"/>
      <w:lang w:eastAsia="en-US" w:val="sk-SK" w:bidi="ar-SA"/>
    </w:rPr>
  </w:style>
  <w:style w:type="character" w:styleId="DefaultParagraphFont" w:default="1">
    <w:name w:val="Default Paragraph Font"/>
    <w:uiPriority w:val="1"/>
    <w:semiHidden/>
    <w:unhideWhenUsed/>
    <w:qFormat/>
    <w:rPr/>
  </w:style>
  <w:style w:type="character" w:styleId="HlavikaChar" w:customStyle="1">
    <w:name w:val="Hlavička Char"/>
    <w:link w:val="Hlavika"/>
    <w:qFormat/>
    <w:rsid w:val="005805d7"/>
    <w:rPr>
      <w:rFonts w:ascii="Times New Roman" w:hAnsi="Times New Roman" w:eastAsia="Times New Roman"/>
      <w:sz w:val="24"/>
      <w:szCs w:val="24"/>
      <w:lang w:val="cs-CZ" w:eastAsia="cs-CZ"/>
    </w:rPr>
  </w:style>
  <w:style w:type="character" w:styleId="PtaChar" w:customStyle="1">
    <w:name w:val="Päta Char"/>
    <w:link w:val="Pta"/>
    <w:qFormat/>
    <w:rsid w:val="005805d7"/>
    <w:rPr>
      <w:rFonts w:ascii="Times New Roman" w:hAnsi="Times New Roman" w:eastAsia="Times New Roman"/>
      <w:sz w:val="24"/>
      <w:szCs w:val="24"/>
      <w:lang w:val="cs-CZ" w:eastAsia="cs-CZ"/>
    </w:rPr>
  </w:style>
  <w:style w:type="character" w:styleId="Pagenumber">
    <w:name w:val="page number"/>
    <w:qFormat/>
    <w:rsid w:val="005805d7"/>
    <w:rPr/>
  </w:style>
  <w:style w:type="character" w:styleId="TextbublinyChar" w:customStyle="1">
    <w:name w:val="Text bubliny Char"/>
    <w:link w:val="Textbubliny"/>
    <w:uiPriority w:val="99"/>
    <w:semiHidden/>
    <w:qFormat/>
    <w:rsid w:val="00d661a1"/>
    <w:rPr>
      <w:rFonts w:ascii="Tahoma" w:hAnsi="Tahoma" w:cs="Tahoma"/>
      <w:sz w:val="16"/>
      <w:szCs w:val="16"/>
      <w:lang w:eastAsia="en-US"/>
    </w:rPr>
  </w:style>
  <w:style w:type="character" w:styleId="Annotationreference">
    <w:name w:val="annotation reference"/>
    <w:uiPriority w:val="99"/>
    <w:semiHidden/>
    <w:unhideWhenUsed/>
    <w:qFormat/>
    <w:rsid w:val="00966097"/>
    <w:rPr>
      <w:sz w:val="16"/>
      <w:szCs w:val="16"/>
    </w:rPr>
  </w:style>
  <w:style w:type="character" w:styleId="TextkomentraChar" w:customStyle="1">
    <w:name w:val="Text komentára Char"/>
    <w:link w:val="Textkomentra"/>
    <w:uiPriority w:val="99"/>
    <w:semiHidden/>
    <w:qFormat/>
    <w:rsid w:val="00966097"/>
    <w:rPr>
      <w:lang w:eastAsia="en-US"/>
    </w:rPr>
  </w:style>
  <w:style w:type="character" w:styleId="PredmetkomentraChar" w:customStyle="1">
    <w:name w:val="Predmet komentára Char"/>
    <w:link w:val="Predmetkomentra"/>
    <w:uiPriority w:val="99"/>
    <w:semiHidden/>
    <w:qFormat/>
    <w:rsid w:val="00966097"/>
    <w:rPr>
      <w:b/>
      <w:bCs/>
      <w:lang w:eastAsia="en-US"/>
    </w:rPr>
  </w:style>
  <w:style w:type="character" w:styleId="ZkladntextChar" w:customStyle="1">
    <w:name w:val="Základný text Char"/>
    <w:link w:val="Zkladntext"/>
    <w:qFormat/>
    <w:rsid w:val="00e20dbd"/>
    <w:rPr>
      <w:rFonts w:ascii="Times New Roman" w:hAnsi="Times New Roman"/>
      <w:b/>
      <w:bCs/>
      <w:sz w:val="52"/>
      <w:szCs w:val="24"/>
      <w:lang w:val="sk-SK" w:eastAsia="cs-CZ"/>
    </w:rPr>
  </w:style>
  <w:style w:type="character" w:styleId="Hps" w:customStyle="1">
    <w:name w:val="hps"/>
    <w:basedOn w:val="DefaultParagraphFont"/>
    <w:qFormat/>
    <w:rsid w:val="00be4ead"/>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link w:val="ZkladntextChar"/>
    <w:rsid w:val="00e20dbd"/>
    <w:pPr>
      <w:spacing w:lineRule="auto" w:line="240" w:before="0" w:after="0"/>
    </w:pPr>
    <w:rPr>
      <w:rFonts w:ascii="Times New Roman" w:hAnsi="Times New Roman"/>
      <w:b/>
      <w:bCs/>
      <w:sz w:val="52"/>
      <w:szCs w:val="24"/>
      <w:lang w:eastAsia="cs-CZ"/>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rsid w:val="005805d7"/>
    <w:pPr>
      <w:tabs>
        <w:tab w:val="center" w:pos="4536" w:leader="none"/>
        <w:tab w:val="right" w:pos="9072" w:leader="none"/>
      </w:tabs>
      <w:spacing w:lineRule="auto" w:line="240" w:before="0" w:after="0"/>
    </w:pPr>
    <w:rPr>
      <w:rFonts w:ascii="Times New Roman" w:hAnsi="Times New Roman" w:eastAsia="Times New Roman"/>
      <w:sz w:val="24"/>
      <w:szCs w:val="24"/>
      <w:lang w:val="cs-CZ" w:eastAsia="cs-CZ"/>
    </w:rPr>
  </w:style>
  <w:style w:type="paragraph" w:styleId="Pta">
    <w:name w:val="Footer"/>
    <w:basedOn w:val="Normal"/>
    <w:link w:val="PtaChar"/>
    <w:rsid w:val="005805d7"/>
    <w:pPr>
      <w:tabs>
        <w:tab w:val="center" w:pos="4536" w:leader="none"/>
        <w:tab w:val="right" w:pos="9072" w:leader="none"/>
      </w:tabs>
      <w:spacing w:lineRule="auto" w:line="240" w:before="0" w:after="0"/>
    </w:pPr>
    <w:rPr>
      <w:rFonts w:ascii="Times New Roman" w:hAnsi="Times New Roman" w:eastAsia="Times New Roman"/>
      <w:sz w:val="24"/>
      <w:szCs w:val="24"/>
      <w:lang w:val="cs-CZ" w:eastAsia="cs-CZ"/>
    </w:rPr>
  </w:style>
  <w:style w:type="paragraph" w:styleId="BalloonText">
    <w:name w:val="Balloon Text"/>
    <w:basedOn w:val="Normal"/>
    <w:link w:val="TextbublinyChar"/>
    <w:uiPriority w:val="99"/>
    <w:semiHidden/>
    <w:unhideWhenUsed/>
    <w:qFormat/>
    <w:rsid w:val="00d661a1"/>
    <w:pPr>
      <w:spacing w:lineRule="auto" w:line="240" w:before="0" w:after="0"/>
    </w:pPr>
    <w:rPr>
      <w:rFonts w:ascii="Tahoma" w:hAnsi="Tahoma" w:cs="Tahoma"/>
      <w:sz w:val="16"/>
      <w:szCs w:val="16"/>
    </w:rPr>
  </w:style>
  <w:style w:type="paragraph" w:styleId="Odrazka" w:customStyle="1">
    <w:name w:val="odrazka"/>
    <w:basedOn w:val="Normal"/>
    <w:qFormat/>
    <w:rsid w:val="00084c6e"/>
    <w:pPr>
      <w:spacing w:lineRule="auto" w:line="240" w:before="0" w:after="0"/>
      <w:ind w:left="1004" w:hanging="284"/>
      <w:jc w:val="both"/>
    </w:pPr>
    <w:rPr>
      <w:rFonts w:ascii="Times New Roman" w:hAnsi="Times New Roman" w:eastAsia="Times New Roman"/>
      <w:sz w:val="24"/>
      <w:szCs w:val="20"/>
      <w:lang w:val="cs-CZ"/>
    </w:rPr>
  </w:style>
  <w:style w:type="paragraph" w:styleId="Annotationtext">
    <w:name w:val="annotation text"/>
    <w:basedOn w:val="Normal"/>
    <w:link w:val="TextkomentraChar"/>
    <w:uiPriority w:val="99"/>
    <w:semiHidden/>
    <w:unhideWhenUsed/>
    <w:qFormat/>
    <w:rsid w:val="00966097"/>
    <w:pPr/>
    <w:rPr>
      <w:sz w:val="20"/>
      <w:szCs w:val="20"/>
    </w:rPr>
  </w:style>
  <w:style w:type="paragraph" w:styleId="Annotationsubject">
    <w:name w:val="annotation subject"/>
    <w:basedOn w:val="Annotationtext"/>
    <w:link w:val="PredmetkomentraChar"/>
    <w:uiPriority w:val="99"/>
    <w:semiHidden/>
    <w:unhideWhenUsed/>
    <w:qFormat/>
    <w:rsid w:val="00966097"/>
    <w:pPr/>
    <w:rPr>
      <w:b/>
      <w:bCs/>
    </w:rPr>
  </w:style>
  <w:style w:type="paragraph" w:styleId="Revision">
    <w:name w:val="Revision"/>
    <w:uiPriority w:val="99"/>
    <w:semiHidden/>
    <w:qFormat/>
    <w:rsid w:val="006b7565"/>
    <w:pPr>
      <w:widowControl/>
      <w:bidi w:val="0"/>
      <w:jc w:val="left"/>
    </w:pPr>
    <w:rPr>
      <w:rFonts w:ascii="Calibri" w:hAnsi="Calibri" w:eastAsia="Calibri" w:cs="Times New Roman"/>
      <w:color w:val="auto"/>
      <w:sz w:val="22"/>
      <w:szCs w:val="22"/>
      <w:lang w:eastAsia="en-US" w:val="sk-SK" w:bidi="ar-SA"/>
    </w:rPr>
  </w:style>
  <w:style w:type="paragraph" w:styleId="ListParagraph">
    <w:name w:val="List Paragraph"/>
    <w:basedOn w:val="Normal"/>
    <w:uiPriority w:val="34"/>
    <w:qFormat/>
    <w:rsid w:val="00992fe6"/>
    <w:pPr>
      <w:spacing w:before="0" w:after="20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ba32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1">
    <w:name w:val="Mriežka tabuľky1"/>
    <w:basedOn w:val="Normlnatabuka"/>
    <w:rsid w:val="005a5a44"/>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LibreOffice/5.3.1.2$Windows_X86_64 LibreOffice_project/e80a0e0fd1875e1696614d24c32df0f95f03deb2</Application>
  <Pages>7</Pages>
  <Words>1844</Words>
  <Characters>11467</Characters>
  <CharactersWithSpaces>13187</CharactersWithSpaces>
  <Paragraphs>140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2015-11-24T06:58:00Z</dcterms:created>
  <dc:creator>Vavrík David Ing.</dc:creator>
  <dc:description/>
  <dc:language>sk-SK</dc:language>
  <cp:lastModifiedBy>Štěpánková Michaela Mgr.</cp:lastModifiedBy>
  <dcterms:modified xsi:type="dcterms:W3CDTF">2019-02-26T08:26:00Z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